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E5E3" w14:textId="77777777" w:rsidR="006D1F7A" w:rsidRPr="007A5F93" w:rsidRDefault="007A5F93" w:rsidP="006D1F7A">
      <w:pPr>
        <w:spacing w:after="0"/>
        <w:rPr>
          <w:b/>
          <w:sz w:val="24"/>
          <w:szCs w:val="24"/>
        </w:rPr>
      </w:pPr>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14:paraId="7DE913DF" w14:textId="77777777" w:rsidR="006D1F7A" w:rsidRDefault="006D1F7A" w:rsidP="006D1F7A">
      <w:pPr>
        <w:spacing w:after="0"/>
      </w:pPr>
    </w:p>
    <w:p w14:paraId="71AC4D1E" w14:textId="77777777"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w:t>
      </w:r>
      <w:r w:rsidR="007D3C4A">
        <w:rPr>
          <w:rFonts w:ascii="Calibri" w:hAnsi="Calibri"/>
          <w:sz w:val="24"/>
          <w:szCs w:val="24"/>
        </w:rPr>
        <w:t xml:space="preserve"> – Insurance Benefits</w:t>
      </w:r>
      <w:r w:rsidRPr="00FF4795">
        <w:rPr>
          <w:rFonts w:ascii="Calibri" w:hAnsi="Calibri"/>
          <w:sz w:val="24"/>
          <w:szCs w:val="24"/>
        </w:rPr>
        <w:t xml:space="preserve"> is a state agency responsible for the administration and management of the state’s employee insurance programs, other post-employment benefits trusts and retirement systems and is part of the State of South Carolina primary government.</w:t>
      </w:r>
    </w:p>
    <w:p w14:paraId="7A176285" w14:textId="77777777" w:rsidR="006D1F7A" w:rsidRPr="00FF4795" w:rsidRDefault="006D1F7A" w:rsidP="006D1F7A">
      <w:pPr>
        <w:pStyle w:val="NoSpacing"/>
        <w:ind w:left="864"/>
        <w:jc w:val="both"/>
        <w:rPr>
          <w:rFonts w:ascii="Calibri" w:hAnsi="Calibri"/>
          <w:sz w:val="24"/>
          <w:szCs w:val="24"/>
        </w:rPr>
      </w:pPr>
    </w:p>
    <w:p w14:paraId="6E2B746F" w14:textId="719AC009"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w:t>
      </w:r>
      <w:proofErr w:type="gramStart"/>
      <w:r w:rsidRPr="00FF4795">
        <w:rPr>
          <w:rFonts w:ascii="Calibri" w:hAnsi="Calibri"/>
          <w:sz w:val="24"/>
          <w:szCs w:val="24"/>
        </w:rPr>
        <w:t>terms of two</w:t>
      </w:r>
      <w:proofErr w:type="gramEnd"/>
      <w:r w:rsidRPr="00FF4795">
        <w:rPr>
          <w:rFonts w:ascii="Calibri" w:hAnsi="Calibri"/>
          <w:sz w:val="24"/>
          <w:szCs w:val="24"/>
        </w:rPr>
        <w:t xml:space="preserve">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w:t>
      </w:r>
      <w:r w:rsidR="004A5D8A">
        <w:rPr>
          <w:rFonts w:ascii="Calibri" w:hAnsi="Calibri"/>
          <w:sz w:val="24"/>
          <w:szCs w:val="24"/>
        </w:rPr>
        <w:t>A</w:t>
      </w:r>
      <w:r>
        <w:rPr>
          <w:rFonts w:ascii="Calibri" w:hAnsi="Calibri"/>
          <w:sz w:val="24"/>
          <w:szCs w:val="24"/>
        </w:rPr>
        <w:t>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14:paraId="141ECABA" w14:textId="77777777" w:rsidR="00556577" w:rsidRDefault="00556577" w:rsidP="006D1F7A">
      <w:pPr>
        <w:spacing w:after="0"/>
        <w:jc w:val="both"/>
        <w:rPr>
          <w:rFonts w:ascii="Calibri" w:hAnsi="Calibri"/>
          <w:sz w:val="24"/>
          <w:szCs w:val="24"/>
        </w:rPr>
      </w:pPr>
    </w:p>
    <w:p w14:paraId="7C53F38B" w14:textId="77777777" w:rsidR="00CD07E8" w:rsidRDefault="00CD07E8" w:rsidP="006D1F7A">
      <w:pPr>
        <w:spacing w:after="0"/>
        <w:jc w:val="both"/>
        <w:rPr>
          <w:b/>
          <w:sz w:val="24"/>
          <w:szCs w:val="24"/>
          <w:u w:val="single"/>
        </w:rPr>
      </w:pPr>
      <w:r>
        <w:rPr>
          <w:b/>
          <w:sz w:val="24"/>
          <w:szCs w:val="24"/>
          <w:u w:val="single"/>
        </w:rPr>
        <w:t>Plan Descriptions</w:t>
      </w:r>
    </w:p>
    <w:p w14:paraId="3BB3219E" w14:textId="6E579315"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were established by the State of South Carolina as Ac</w:t>
      </w:r>
      <w:r w:rsidR="00DF1998">
        <w:rPr>
          <w:rFonts w:ascii="Calibri" w:hAnsi="Calibri"/>
          <w:sz w:val="24"/>
          <w:szCs w:val="24"/>
        </w:rPr>
        <w:t>t 195, which became effective in</w:t>
      </w:r>
      <w:r w:rsidRPr="00FF4795">
        <w:rPr>
          <w:rFonts w:ascii="Calibri" w:hAnsi="Calibri"/>
          <w:sz w:val="24"/>
          <w:szCs w:val="24"/>
        </w:rPr>
        <w:t xml:space="preserve"> May 2008.  </w:t>
      </w:r>
      <w:proofErr w:type="gramStart"/>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proofErr w:type="gramEnd"/>
      <w:r w:rsidRPr="00FF4795">
        <w:rPr>
          <w:rFonts w:ascii="Calibri" w:hAnsi="Calibri"/>
          <w:sz w:val="24"/>
          <w:szCs w:val="24"/>
        </w:rPr>
        <w:t xml:space="preserve"> was created to fund and account for the employer costs of the State’s retiree health and dental plans.  </w:t>
      </w:r>
      <w:proofErr w:type="gramStart"/>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proofErr w:type="gramEnd"/>
      <w:r w:rsidRPr="00FF4795">
        <w:rPr>
          <w:rFonts w:ascii="Calibri" w:hAnsi="Calibri"/>
          <w:sz w:val="24"/>
          <w:szCs w:val="24"/>
        </w:rPr>
        <w:t xml:space="preserve"> was created to fund and account for the employer costs of the State’s Basic Long-Term Disability Income Benefit Plan.</w:t>
      </w:r>
    </w:p>
    <w:p w14:paraId="621D89A1" w14:textId="77777777" w:rsidR="00CD07E8" w:rsidRDefault="00CD07E8" w:rsidP="00A93C23">
      <w:pPr>
        <w:pStyle w:val="NoSpacing"/>
        <w:jc w:val="both"/>
        <w:rPr>
          <w:rFonts w:ascii="Calibri" w:hAnsi="Calibri"/>
          <w:sz w:val="24"/>
          <w:szCs w:val="24"/>
        </w:rPr>
      </w:pPr>
    </w:p>
    <w:p w14:paraId="2235E086" w14:textId="77777777"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w:t>
      </w:r>
      <w:r w:rsidR="007D3C4A">
        <w:rPr>
          <w:rFonts w:ascii="Calibri" w:hAnsi="Calibri"/>
          <w:sz w:val="24"/>
          <w:szCs w:val="24"/>
        </w:rPr>
        <w:t xml:space="preserve">ts are administered by the PEBA – </w:t>
      </w:r>
      <w:r w:rsidRPr="00FF4795">
        <w:rPr>
          <w:rFonts w:ascii="Calibri" w:hAnsi="Calibri"/>
          <w:sz w:val="24"/>
          <w:szCs w:val="24"/>
        </w:rPr>
        <w:t>Insurance Benefits and the State Treasurer is the custodian of the funds held in trust.  The Board of Directors of PEBA has been designated as the Trustee.</w:t>
      </w:r>
    </w:p>
    <w:p w14:paraId="07F331E6" w14:textId="77777777" w:rsidR="00CD07E8" w:rsidRDefault="00CD07E8" w:rsidP="00A93C23">
      <w:pPr>
        <w:pStyle w:val="NoSpacing"/>
        <w:jc w:val="both"/>
        <w:rPr>
          <w:rFonts w:ascii="Calibri" w:hAnsi="Calibri"/>
          <w:sz w:val="24"/>
          <w:szCs w:val="24"/>
        </w:rPr>
      </w:pPr>
    </w:p>
    <w:p w14:paraId="17CE0765" w14:textId="77777777" w:rsidR="00CD07E8" w:rsidRDefault="00CD07E8" w:rsidP="00A93C23">
      <w:pPr>
        <w:pStyle w:val="NoSpacing"/>
        <w:jc w:val="both"/>
        <w:rPr>
          <w:rFonts w:ascii="Calibri" w:hAnsi="Calibri"/>
          <w:sz w:val="24"/>
          <w:szCs w:val="24"/>
        </w:rPr>
      </w:pPr>
      <w:r w:rsidRPr="00FF4795">
        <w:rPr>
          <w:rFonts w:ascii="Calibri" w:hAnsi="Calibri"/>
          <w:sz w:val="24"/>
          <w:szCs w:val="24"/>
        </w:rPr>
        <w:t>The OPEB Trusts are cost-sharing multiple-</w:t>
      </w:r>
      <w:proofErr w:type="gramStart"/>
      <w:r w:rsidRPr="00FF4795">
        <w:rPr>
          <w:rFonts w:ascii="Calibri" w:hAnsi="Calibri"/>
          <w:sz w:val="24"/>
          <w:szCs w:val="24"/>
        </w:rPr>
        <w:t>employer</w:t>
      </w:r>
      <w:proofErr w:type="gramEnd"/>
      <w:r w:rsidRPr="00FF4795">
        <w:rPr>
          <w:rFonts w:ascii="Calibri" w:hAnsi="Calibri"/>
          <w:sz w:val="24"/>
          <w:szCs w:val="24"/>
        </w:rPr>
        <w:t xml:space="preserve"> defined benefit </w:t>
      </w:r>
      <w:r w:rsidR="00DF1998">
        <w:rPr>
          <w:rFonts w:ascii="Calibri" w:hAnsi="Calibri"/>
          <w:sz w:val="24"/>
          <w:szCs w:val="24"/>
        </w:rPr>
        <w:t xml:space="preserve">OPEB </w:t>
      </w:r>
      <w:r w:rsidRPr="00FF4795">
        <w:rPr>
          <w:rFonts w:ascii="Calibri" w:hAnsi="Calibri"/>
          <w:sz w:val="24"/>
          <w:szCs w:val="24"/>
        </w:rPr>
        <w:t xml:space="preserve">plans.  Article 5 of the State Code of Laws defines the two plans and authorizes the Trustee to at any time adjust the plans, including </w:t>
      </w:r>
      <w:proofErr w:type="gramStart"/>
      <w:r w:rsidRPr="00FF4795">
        <w:rPr>
          <w:rFonts w:ascii="Calibri" w:hAnsi="Calibri"/>
          <w:sz w:val="24"/>
          <w:szCs w:val="24"/>
        </w:rPr>
        <w:t>its</w:t>
      </w:r>
      <w:proofErr w:type="gramEnd"/>
      <w:r w:rsidRPr="00FF4795">
        <w:rPr>
          <w:rFonts w:ascii="Calibri" w:hAnsi="Calibri"/>
          <w:sz w:val="24"/>
          <w:szCs w:val="24"/>
        </w:rPr>
        <w:t xml:space="preserve">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14:paraId="55FE6211" w14:textId="77777777" w:rsidR="00A93C23" w:rsidRDefault="00A93C23" w:rsidP="00A93C23">
      <w:pPr>
        <w:pStyle w:val="NoSpacing"/>
        <w:jc w:val="both"/>
        <w:rPr>
          <w:rFonts w:ascii="Calibri" w:hAnsi="Calibri"/>
          <w:sz w:val="24"/>
          <w:szCs w:val="24"/>
        </w:rPr>
      </w:pPr>
    </w:p>
    <w:p w14:paraId="1B04FEBE" w14:textId="77777777" w:rsidR="00CD07E8" w:rsidRDefault="00CD07E8" w:rsidP="00CD07E8">
      <w:pPr>
        <w:spacing w:after="0"/>
        <w:jc w:val="both"/>
        <w:rPr>
          <w:b/>
          <w:sz w:val="24"/>
          <w:szCs w:val="24"/>
          <w:u w:val="single"/>
        </w:rPr>
      </w:pPr>
      <w:r>
        <w:rPr>
          <w:b/>
          <w:sz w:val="24"/>
          <w:szCs w:val="24"/>
          <w:u w:val="single"/>
        </w:rPr>
        <w:lastRenderedPageBreak/>
        <w:t>Benefits</w:t>
      </w:r>
    </w:p>
    <w:p w14:paraId="29AD8D53" w14:textId="77777777" w:rsidR="00CD07E8" w:rsidRPr="00FF4795" w:rsidRDefault="00CD07E8" w:rsidP="00CD07E8">
      <w:pPr>
        <w:pStyle w:val="NoSpacing"/>
        <w:jc w:val="both"/>
        <w:rPr>
          <w:rFonts w:ascii="Calibri" w:hAnsi="Calibri"/>
          <w:sz w:val="24"/>
          <w:szCs w:val="24"/>
        </w:rPr>
      </w:pPr>
      <w:proofErr w:type="gramStart"/>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proofErr w:type="gramEnd"/>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w:t>
      </w:r>
      <w:proofErr w:type="gramStart"/>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proofErr w:type="gramEnd"/>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w:t>
      </w:r>
      <w:proofErr w:type="gramStart"/>
      <w:r>
        <w:rPr>
          <w:rFonts w:ascii="Calibri" w:hAnsi="Calibri"/>
          <w:sz w:val="24"/>
          <w:szCs w:val="24"/>
        </w:rPr>
        <w:t>2008</w:t>
      </w:r>
      <w:proofErr w:type="gramEnd"/>
      <w:r>
        <w:rPr>
          <w:rFonts w:ascii="Calibri" w:hAnsi="Calibri"/>
          <w:sz w:val="24"/>
          <w:szCs w:val="24"/>
        </w:rPr>
        <w:t xml:space="preserve"> and after, retirees are eligible for benefits if they have established 25 years of service for 100% employer funding and 15-24 years of service for 50% employer funding.</w:t>
      </w:r>
    </w:p>
    <w:p w14:paraId="02137BE1" w14:textId="77777777" w:rsidR="00CD07E8" w:rsidRPr="00D2418F" w:rsidRDefault="00CD07E8" w:rsidP="00CD07E8">
      <w:pPr>
        <w:pStyle w:val="NoSpacing"/>
        <w:ind w:left="864"/>
        <w:jc w:val="both"/>
        <w:rPr>
          <w:rFonts w:ascii="Calibri" w:hAnsi="Calibri"/>
        </w:rPr>
      </w:pPr>
    </w:p>
    <w:p w14:paraId="4084083B" w14:textId="77777777"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and all participating local governmental entities.  </w:t>
      </w:r>
      <w:proofErr w:type="gramStart"/>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proofErr w:type="gramEnd"/>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14:paraId="243CA0B2" w14:textId="77777777" w:rsidR="003B5773" w:rsidRPr="00D2418F" w:rsidRDefault="003B5773" w:rsidP="00D2418F">
      <w:pPr>
        <w:spacing w:after="0"/>
        <w:rPr>
          <w:rFonts w:ascii="Calibri" w:hAnsi="Calibri"/>
        </w:rPr>
      </w:pPr>
    </w:p>
    <w:p w14:paraId="44ED8E4D" w14:textId="77777777"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14:paraId="6878FE4E" w14:textId="314E4B07" w:rsidR="005F17A0"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w:t>
      </w:r>
      <w:r w:rsidR="00DF1998">
        <w:rPr>
          <w:rFonts w:ascii="Calibri" w:hAnsi="Calibri"/>
          <w:sz w:val="24"/>
          <w:szCs w:val="24"/>
        </w:rPr>
        <w:t>1976, as amended, requires the</w:t>
      </w:r>
      <w:r>
        <w:rPr>
          <w:rFonts w:ascii="Calibri" w:hAnsi="Calibri"/>
          <w:sz w:val="24"/>
          <w:szCs w:val="24"/>
        </w:rPr>
        <w:t xml:space="preserve"> postemployment and long-term disability benefits to be funded through </w:t>
      </w:r>
      <w:r w:rsidR="00C72F3B">
        <w:rPr>
          <w:rFonts w:ascii="Calibri" w:hAnsi="Calibri"/>
          <w:sz w:val="24"/>
          <w:szCs w:val="24"/>
        </w:rPr>
        <w:t>non-</w:t>
      </w:r>
      <w:proofErr w:type="spellStart"/>
      <w:r w:rsidR="00C72F3B">
        <w:rPr>
          <w:rFonts w:ascii="Calibri" w:hAnsi="Calibri"/>
          <w:sz w:val="24"/>
          <w:szCs w:val="24"/>
        </w:rPr>
        <w:t>employer</w:t>
      </w:r>
      <w:proofErr w:type="spellEnd"/>
      <w:r w:rsidR="00C72F3B">
        <w:rPr>
          <w:rFonts w:ascii="Calibri" w:hAnsi="Calibri"/>
          <w:sz w:val="24"/>
          <w:szCs w:val="24"/>
        </w:rPr>
        <w:t xml:space="preserve"> and employer contributions</w:t>
      </w:r>
      <w:r>
        <w:rPr>
          <w:rFonts w:ascii="Calibri" w:hAnsi="Calibri"/>
          <w:sz w:val="24"/>
          <w:szCs w:val="24"/>
        </w:rPr>
        <w:t xml:space="preserve"> for active employees </w:t>
      </w:r>
      <w:r w:rsidR="00C72F3B">
        <w:rPr>
          <w:rFonts w:ascii="Calibri" w:hAnsi="Calibri"/>
          <w:sz w:val="24"/>
          <w:szCs w:val="24"/>
        </w:rPr>
        <w:t xml:space="preserve">and retirees </w:t>
      </w:r>
      <w:r>
        <w:rPr>
          <w:rFonts w:ascii="Calibri" w:hAnsi="Calibri"/>
          <w:sz w:val="24"/>
          <w:szCs w:val="24"/>
        </w:rPr>
        <w:t xml:space="preserve">to the </w:t>
      </w:r>
      <w:r w:rsidR="002B7D61">
        <w:rPr>
          <w:rFonts w:ascii="Calibri" w:hAnsi="Calibri"/>
          <w:sz w:val="24"/>
          <w:szCs w:val="24"/>
        </w:rPr>
        <w:t xml:space="preserve">PEBA – Insurance Benefits.    </w:t>
      </w:r>
    </w:p>
    <w:p w14:paraId="04C0EA7B" w14:textId="77777777" w:rsidR="005F17A0" w:rsidRPr="00D2418F" w:rsidRDefault="005F17A0" w:rsidP="0059318D">
      <w:pPr>
        <w:pStyle w:val="NoSpacing"/>
        <w:jc w:val="both"/>
        <w:rPr>
          <w:rFonts w:ascii="Calibri" w:hAnsi="Calibri"/>
        </w:rPr>
      </w:pPr>
    </w:p>
    <w:p w14:paraId="77F0129F" w14:textId="3E9C87BF" w:rsidR="0059318D" w:rsidRDefault="005F17A0" w:rsidP="0059318D">
      <w:pPr>
        <w:pStyle w:val="NoSpacing"/>
        <w:jc w:val="both"/>
        <w:rPr>
          <w:rFonts w:ascii="Calibri" w:hAnsi="Calibri"/>
          <w:sz w:val="24"/>
          <w:szCs w:val="24"/>
        </w:rPr>
      </w:pPr>
      <w:r>
        <w:rPr>
          <w:rFonts w:ascii="Calibri" w:hAnsi="Calibri"/>
          <w:sz w:val="24"/>
          <w:szCs w:val="24"/>
        </w:rPr>
        <w:t>The SCRHITF is funded through</w:t>
      </w:r>
      <w:r w:rsidR="0059318D">
        <w:rPr>
          <w:rFonts w:ascii="Calibri" w:hAnsi="Calibri"/>
          <w:sz w:val="24"/>
          <w:szCs w:val="24"/>
        </w:rPr>
        <w:t xml:space="preserve"> participating employers</w:t>
      </w:r>
      <w:r>
        <w:rPr>
          <w:rFonts w:ascii="Calibri" w:hAnsi="Calibri"/>
          <w:sz w:val="24"/>
          <w:szCs w:val="24"/>
        </w:rPr>
        <w:t xml:space="preserve"> that </w:t>
      </w:r>
      <w:r w:rsidR="0059318D">
        <w:rPr>
          <w:rFonts w:ascii="Calibri" w:hAnsi="Calibri"/>
          <w:sz w:val="24"/>
          <w:szCs w:val="24"/>
        </w:rPr>
        <w:t>are mandated by State statute to contribute at a rate assessed each year by the Department of Administration Executive Budget Office</w:t>
      </w:r>
      <w:r>
        <w:rPr>
          <w:rFonts w:ascii="Calibri" w:hAnsi="Calibri"/>
          <w:sz w:val="24"/>
          <w:szCs w:val="24"/>
        </w:rPr>
        <w:t xml:space="preserve"> on active employee covered payroll</w:t>
      </w:r>
      <w:r w:rsidR="0059318D">
        <w:rPr>
          <w:rFonts w:ascii="Calibri" w:hAnsi="Calibri"/>
          <w:sz w:val="24"/>
          <w:szCs w:val="24"/>
        </w:rPr>
        <w:t xml:space="preserve">.  The covered payroll surcharge for the year ended June 30, </w:t>
      </w:r>
      <w:proofErr w:type="gramStart"/>
      <w:r w:rsidR="0059318D">
        <w:rPr>
          <w:rFonts w:ascii="Calibri" w:hAnsi="Calibri"/>
          <w:sz w:val="24"/>
          <w:szCs w:val="24"/>
        </w:rPr>
        <w:t>20</w:t>
      </w:r>
      <w:r w:rsidR="00707C20">
        <w:rPr>
          <w:rFonts w:ascii="Calibri" w:hAnsi="Calibri"/>
          <w:sz w:val="24"/>
          <w:szCs w:val="24"/>
        </w:rPr>
        <w:t>2</w:t>
      </w:r>
      <w:r w:rsidR="007A1D05">
        <w:rPr>
          <w:rFonts w:ascii="Calibri" w:hAnsi="Calibri"/>
          <w:sz w:val="24"/>
          <w:szCs w:val="24"/>
        </w:rPr>
        <w:t>5</w:t>
      </w:r>
      <w:proofErr w:type="gramEnd"/>
      <w:r w:rsidR="0059318D">
        <w:rPr>
          <w:rFonts w:ascii="Calibri" w:hAnsi="Calibri"/>
          <w:sz w:val="24"/>
          <w:szCs w:val="24"/>
        </w:rPr>
        <w:t xml:space="preserve"> was </w:t>
      </w:r>
      <w:r w:rsidR="00255DF1">
        <w:rPr>
          <w:rFonts w:ascii="Calibri" w:hAnsi="Calibri"/>
          <w:sz w:val="24"/>
          <w:szCs w:val="24"/>
        </w:rPr>
        <w:t>6</w:t>
      </w:r>
      <w:r w:rsidR="009C4CCA">
        <w:rPr>
          <w:rFonts w:ascii="Calibri" w:hAnsi="Calibri"/>
          <w:sz w:val="24"/>
          <w:szCs w:val="24"/>
        </w:rPr>
        <w:t>.</w:t>
      </w:r>
      <w:r w:rsidR="006A041C">
        <w:rPr>
          <w:rFonts w:ascii="Calibri" w:hAnsi="Calibri"/>
          <w:sz w:val="24"/>
          <w:szCs w:val="24"/>
        </w:rPr>
        <w:t>3</w:t>
      </w:r>
      <w:r w:rsidR="009C4CCA">
        <w:rPr>
          <w:rFonts w:ascii="Calibri" w:hAnsi="Calibri"/>
          <w:sz w:val="24"/>
          <w:szCs w:val="24"/>
        </w:rPr>
        <w:t>5</w:t>
      </w:r>
      <w:r w:rsidR="0059318D">
        <w:rPr>
          <w:rFonts w:ascii="Calibri" w:hAnsi="Calibri"/>
          <w:sz w:val="24"/>
          <w:szCs w:val="24"/>
        </w:rPr>
        <w:t xml:space="preserve"> percent.  </w:t>
      </w:r>
      <w:r w:rsidR="0059318D" w:rsidRPr="00FF4795">
        <w:rPr>
          <w:rFonts w:ascii="Calibri" w:hAnsi="Calibri"/>
          <w:sz w:val="24"/>
          <w:szCs w:val="24"/>
        </w:rPr>
        <w:t xml:space="preserve">The South Carolina Retirement System collects the monthly </w:t>
      </w:r>
      <w:r w:rsidR="00C72F3B">
        <w:rPr>
          <w:rFonts w:ascii="Calibri" w:hAnsi="Calibri"/>
          <w:sz w:val="24"/>
          <w:szCs w:val="24"/>
        </w:rPr>
        <w:t xml:space="preserve">covered payroll </w:t>
      </w:r>
      <w:r w:rsidR="0059318D" w:rsidRPr="00FF4795">
        <w:rPr>
          <w:rFonts w:ascii="Calibri" w:hAnsi="Calibri"/>
          <w:sz w:val="24"/>
          <w:szCs w:val="24"/>
        </w:rPr>
        <w:t xml:space="preserve">surcharge for </w:t>
      </w:r>
      <w:r w:rsidR="0059318D">
        <w:rPr>
          <w:rFonts w:ascii="Calibri" w:hAnsi="Calibri"/>
          <w:sz w:val="24"/>
          <w:szCs w:val="24"/>
        </w:rPr>
        <w:t xml:space="preserve">all </w:t>
      </w:r>
      <w:r w:rsidR="00982928">
        <w:rPr>
          <w:rFonts w:ascii="Calibri" w:hAnsi="Calibri"/>
          <w:sz w:val="24"/>
          <w:szCs w:val="24"/>
        </w:rPr>
        <w:t xml:space="preserve">participating </w:t>
      </w:r>
      <w:r w:rsidR="0059318D">
        <w:rPr>
          <w:rFonts w:ascii="Calibri" w:hAnsi="Calibri"/>
          <w:sz w:val="24"/>
          <w:szCs w:val="24"/>
        </w:rPr>
        <w:t xml:space="preserve">employers </w:t>
      </w:r>
      <w:r w:rsidR="0059318D" w:rsidRPr="00FF4795">
        <w:rPr>
          <w:rFonts w:ascii="Calibri" w:hAnsi="Calibri"/>
          <w:sz w:val="24"/>
          <w:szCs w:val="24"/>
        </w:rPr>
        <w:t xml:space="preserve">and remits it directly to </w:t>
      </w:r>
      <w:proofErr w:type="gramStart"/>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RHIT</w:t>
      </w:r>
      <w:r w:rsidR="0059318D">
        <w:rPr>
          <w:rFonts w:ascii="Calibri" w:hAnsi="Calibri"/>
          <w:sz w:val="24"/>
          <w:szCs w:val="24"/>
        </w:rPr>
        <w:t>F</w:t>
      </w:r>
      <w:proofErr w:type="gramEnd"/>
      <w:r w:rsidR="0059318D" w:rsidRPr="00FF4795">
        <w:rPr>
          <w:rFonts w:ascii="Calibri" w:hAnsi="Calibri"/>
          <w:sz w:val="24"/>
          <w:szCs w:val="24"/>
        </w:rPr>
        <w:t xml:space="preserve">.  </w:t>
      </w:r>
      <w:r w:rsidR="0059318D">
        <w:rPr>
          <w:rFonts w:ascii="Calibri" w:hAnsi="Calibri"/>
          <w:sz w:val="24"/>
          <w:szCs w:val="24"/>
        </w:rPr>
        <w:t>Other sources of funding for the SCR</w:t>
      </w:r>
      <w:r>
        <w:rPr>
          <w:rFonts w:ascii="Calibri" w:hAnsi="Calibri"/>
          <w:sz w:val="24"/>
          <w:szCs w:val="24"/>
        </w:rPr>
        <w:t xml:space="preserve">HITF </w:t>
      </w:r>
      <w:r w:rsidR="00AB219E">
        <w:rPr>
          <w:rFonts w:ascii="Calibri" w:hAnsi="Calibri"/>
          <w:sz w:val="24"/>
          <w:szCs w:val="24"/>
        </w:rPr>
        <w:t xml:space="preserve">also include the implicit subsidy, or age-related subsidy inherent in the healthcare </w:t>
      </w:r>
      <w:proofErr w:type="gramStart"/>
      <w:r w:rsidR="00AB219E">
        <w:rPr>
          <w:rFonts w:ascii="Calibri" w:hAnsi="Calibri"/>
          <w:sz w:val="24"/>
          <w:szCs w:val="24"/>
        </w:rPr>
        <w:t>premiums</w:t>
      </w:r>
      <w:proofErr w:type="gramEnd"/>
      <w:r w:rsidR="00AB219E">
        <w:rPr>
          <w:rFonts w:ascii="Calibri" w:hAnsi="Calibri"/>
          <w:sz w:val="24"/>
          <w:szCs w:val="24"/>
        </w:rPr>
        <w:t xml:space="preserve"> structure.  </w:t>
      </w:r>
      <w:r w:rsidR="00A502D3">
        <w:rPr>
          <w:rFonts w:ascii="Calibri" w:hAnsi="Calibri"/>
          <w:sz w:val="24"/>
          <w:szCs w:val="24"/>
        </w:rPr>
        <w:t xml:space="preserve">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  </w:t>
      </w:r>
      <w:r w:rsidR="00732CC2">
        <w:rPr>
          <w:rFonts w:ascii="Calibri" w:hAnsi="Calibri"/>
          <w:sz w:val="24"/>
          <w:szCs w:val="24"/>
        </w:rPr>
        <w:t>Non-employer contributions consist of an annual appropriation by the General Assembly and the statutorily required transfer from PEBA – Insurance Benefits reserves.</w:t>
      </w:r>
      <w:r w:rsidR="00D2418F">
        <w:rPr>
          <w:rFonts w:ascii="Calibri" w:hAnsi="Calibri"/>
          <w:sz w:val="24"/>
          <w:szCs w:val="24"/>
        </w:rPr>
        <w:t xml:space="preserve">  </w:t>
      </w:r>
      <w:r w:rsidR="00732CC2">
        <w:rPr>
          <w:rFonts w:ascii="Calibri" w:hAnsi="Calibri"/>
          <w:sz w:val="24"/>
          <w:szCs w:val="24"/>
        </w:rPr>
        <w:t xml:space="preserve">However, due to the COVID-19 pandemic and the impact it has had on the PEBA – Insurance Benefits reserves, the General Assembly has indefinitely suspended the statutorily required transfer until further notice.  The SCRHITF </w:t>
      </w:r>
      <w:r w:rsidR="00D2418F">
        <w:rPr>
          <w:rFonts w:ascii="Calibri" w:hAnsi="Calibri"/>
          <w:sz w:val="24"/>
          <w:szCs w:val="24"/>
        </w:rPr>
        <w:t>is also funded through investment income.</w:t>
      </w:r>
    </w:p>
    <w:p w14:paraId="500768D4" w14:textId="77777777" w:rsidR="0059318D" w:rsidRPr="00D2418F" w:rsidRDefault="0059318D" w:rsidP="0059318D">
      <w:pPr>
        <w:pStyle w:val="NoSpacing"/>
        <w:jc w:val="both"/>
        <w:rPr>
          <w:rFonts w:ascii="Calibri" w:hAnsi="Calibri"/>
        </w:rPr>
      </w:pPr>
    </w:p>
    <w:p w14:paraId="474D6BA6" w14:textId="7DFD982D" w:rsidR="003B5773" w:rsidRDefault="005F17A0" w:rsidP="0059318D">
      <w:pPr>
        <w:spacing w:after="0"/>
        <w:jc w:val="both"/>
        <w:rPr>
          <w:rFonts w:ascii="Calibri" w:hAnsi="Calibri"/>
          <w:sz w:val="24"/>
          <w:szCs w:val="24"/>
        </w:rPr>
      </w:pPr>
      <w:proofErr w:type="gramStart"/>
      <w:r>
        <w:rPr>
          <w:rFonts w:ascii="Calibri" w:hAnsi="Calibri"/>
          <w:sz w:val="24"/>
          <w:szCs w:val="24"/>
        </w:rPr>
        <w:t>The SCLTDITF</w:t>
      </w:r>
      <w:proofErr w:type="gramEnd"/>
      <w:r>
        <w:rPr>
          <w:rFonts w:ascii="Calibri" w:hAnsi="Calibri"/>
          <w:sz w:val="24"/>
          <w:szCs w:val="24"/>
        </w:rPr>
        <w:t xml:space="preserve"> is</w:t>
      </w:r>
      <w:r w:rsidR="0059318D">
        <w:rPr>
          <w:rFonts w:ascii="Calibri" w:hAnsi="Calibri"/>
          <w:sz w:val="24"/>
          <w:szCs w:val="24"/>
        </w:rPr>
        <w:t xml:space="preserve"> funded through </w:t>
      </w:r>
      <w:r w:rsidR="00A502D3">
        <w:rPr>
          <w:rFonts w:ascii="Calibri" w:hAnsi="Calibri"/>
          <w:sz w:val="24"/>
          <w:szCs w:val="24"/>
        </w:rPr>
        <w:t xml:space="preserve">employer contributions for </w:t>
      </w:r>
      <w:r w:rsidR="0059318D">
        <w:rPr>
          <w:rFonts w:ascii="Calibri" w:hAnsi="Calibri"/>
          <w:sz w:val="24"/>
          <w:szCs w:val="24"/>
        </w:rPr>
        <w:t>a</w:t>
      </w:r>
      <w:r>
        <w:rPr>
          <w:rFonts w:ascii="Calibri" w:hAnsi="Calibri"/>
          <w:sz w:val="24"/>
          <w:szCs w:val="24"/>
        </w:rPr>
        <w:t>ctive employees</w:t>
      </w:r>
      <w:r w:rsidR="0059318D">
        <w:rPr>
          <w:rFonts w:ascii="Calibri" w:hAnsi="Calibri"/>
          <w:sz w:val="24"/>
          <w:szCs w:val="24"/>
        </w:rPr>
        <w:t xml:space="preserve"> </w:t>
      </w:r>
      <w:r>
        <w:rPr>
          <w:rFonts w:ascii="Calibri" w:hAnsi="Calibri"/>
          <w:sz w:val="24"/>
          <w:szCs w:val="24"/>
        </w:rPr>
        <w:t xml:space="preserve">that elect health insurance coverage.  For this group of active employees, PEBA – Insurance Benefits bills and collects </w:t>
      </w:r>
      <w:r w:rsidR="0059318D">
        <w:rPr>
          <w:rFonts w:ascii="Calibri" w:hAnsi="Calibri"/>
          <w:sz w:val="24"/>
          <w:szCs w:val="24"/>
        </w:rPr>
        <w:t>premium</w:t>
      </w:r>
      <w:r>
        <w:rPr>
          <w:rFonts w:ascii="Calibri" w:hAnsi="Calibri"/>
          <w:sz w:val="24"/>
          <w:szCs w:val="24"/>
        </w:rPr>
        <w:t xml:space="preserve">s </w:t>
      </w:r>
      <w:r w:rsidR="0059318D">
        <w:rPr>
          <w:rFonts w:ascii="Calibri" w:hAnsi="Calibri"/>
          <w:sz w:val="24"/>
          <w:szCs w:val="24"/>
        </w:rPr>
        <w:t xml:space="preserve">charged to State agencies, public school districts and other participating local governments.  The monthly premium per active employee was </w:t>
      </w:r>
      <w:r w:rsidR="0059318D" w:rsidRPr="00005F1A">
        <w:rPr>
          <w:rFonts w:ascii="Calibri" w:hAnsi="Calibri"/>
          <w:sz w:val="24"/>
          <w:szCs w:val="24"/>
        </w:rPr>
        <w:t>$3.22</w:t>
      </w:r>
      <w:r w:rsidR="0059318D">
        <w:rPr>
          <w:rFonts w:ascii="Calibri" w:hAnsi="Calibri"/>
          <w:sz w:val="24"/>
          <w:szCs w:val="24"/>
        </w:rPr>
        <w:t xml:space="preserve"> for the fiscal year ended </w:t>
      </w:r>
      <w:r w:rsidR="0059318D">
        <w:rPr>
          <w:rFonts w:ascii="Calibri" w:hAnsi="Calibri"/>
          <w:sz w:val="24"/>
          <w:szCs w:val="24"/>
        </w:rPr>
        <w:lastRenderedPageBreak/>
        <w:t>June 30, 20</w:t>
      </w:r>
      <w:r w:rsidR="00FD5057">
        <w:rPr>
          <w:rFonts w:ascii="Calibri" w:hAnsi="Calibri"/>
          <w:sz w:val="24"/>
          <w:szCs w:val="24"/>
        </w:rPr>
        <w:t>2</w:t>
      </w:r>
      <w:r w:rsidR="007A1D05">
        <w:rPr>
          <w:rFonts w:ascii="Calibri" w:hAnsi="Calibri"/>
          <w:sz w:val="24"/>
          <w:szCs w:val="24"/>
        </w:rPr>
        <w:t>5</w:t>
      </w:r>
      <w:r w:rsidR="0059318D">
        <w:rPr>
          <w:rFonts w:ascii="Calibri" w:hAnsi="Calibri"/>
          <w:sz w:val="24"/>
          <w:szCs w:val="24"/>
        </w:rPr>
        <w:t xml:space="preserve">.  </w:t>
      </w:r>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premium is billed monthly by</w:t>
      </w:r>
      <w:r w:rsidR="0059318D" w:rsidRPr="00FF4795">
        <w:rPr>
          <w:rFonts w:ascii="Calibri" w:hAnsi="Calibri"/>
          <w:sz w:val="24"/>
          <w:szCs w:val="24"/>
        </w:rPr>
        <w:t xml:space="preserve"> </w:t>
      </w:r>
      <w:r w:rsidR="002B7D61">
        <w:rPr>
          <w:rFonts w:ascii="Calibri" w:hAnsi="Calibri"/>
          <w:sz w:val="24"/>
          <w:szCs w:val="24"/>
        </w:rPr>
        <w:t>PEBA – Insurance Benefits</w:t>
      </w:r>
      <w:r w:rsidR="0059318D" w:rsidRPr="00FF4795">
        <w:rPr>
          <w:rFonts w:ascii="Calibri" w:hAnsi="Calibri"/>
          <w:sz w:val="24"/>
          <w:szCs w:val="24"/>
        </w:rPr>
        <w:t xml:space="preserve"> and transferred monthly to 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w:t>
      </w:r>
      <w:r w:rsidR="0059318D">
        <w:rPr>
          <w:rFonts w:ascii="Calibri" w:hAnsi="Calibri"/>
          <w:sz w:val="24"/>
          <w:szCs w:val="24"/>
        </w:rPr>
        <w:t xml:space="preserve">  It is also funded through investment income.</w:t>
      </w:r>
    </w:p>
    <w:p w14:paraId="0FC55880" w14:textId="77777777" w:rsidR="00136638" w:rsidRDefault="00136638" w:rsidP="0059318D">
      <w:pPr>
        <w:spacing w:after="0"/>
        <w:jc w:val="both"/>
        <w:rPr>
          <w:rFonts w:ascii="Calibri" w:hAnsi="Calibri"/>
          <w:sz w:val="24"/>
          <w:szCs w:val="24"/>
        </w:rPr>
      </w:pPr>
    </w:p>
    <w:p w14:paraId="0027A8F5" w14:textId="45EFD381" w:rsidR="00794E29" w:rsidRDefault="00794E29" w:rsidP="0059318D">
      <w:pPr>
        <w:spacing w:after="0"/>
        <w:jc w:val="both"/>
        <w:rPr>
          <w:rFonts w:ascii="Calibri" w:hAnsi="Calibri"/>
          <w:sz w:val="24"/>
          <w:szCs w:val="24"/>
        </w:rPr>
      </w:pPr>
      <w:r>
        <w:rPr>
          <w:rFonts w:ascii="Calibri" w:hAnsi="Calibri"/>
          <w:sz w:val="24"/>
          <w:szCs w:val="24"/>
        </w:rPr>
        <w:t xml:space="preserve">The allocation percentage of the OPEB amounts are calculated differently for each OPEB Trust.  For the SCRHITF, the allocation percentage is based on the covered payroll surcharge contribution for each employer.  Please note </w:t>
      </w:r>
      <w:r w:rsidR="002325D1">
        <w:rPr>
          <w:rFonts w:ascii="Calibri" w:hAnsi="Calibri"/>
          <w:sz w:val="24"/>
          <w:szCs w:val="24"/>
        </w:rPr>
        <w:t>that actual covered payroll contributions received from SCRS for the fiscal year 20</w:t>
      </w:r>
      <w:r w:rsidR="00EB6F21">
        <w:rPr>
          <w:rFonts w:ascii="Calibri" w:hAnsi="Calibri"/>
          <w:sz w:val="24"/>
          <w:szCs w:val="24"/>
        </w:rPr>
        <w:t>2</w:t>
      </w:r>
      <w:r w:rsidR="007A1D05">
        <w:rPr>
          <w:rFonts w:ascii="Calibri" w:hAnsi="Calibri"/>
          <w:sz w:val="24"/>
          <w:szCs w:val="24"/>
        </w:rPr>
        <w:t>5</w:t>
      </w:r>
      <w:r w:rsidR="002325D1">
        <w:rPr>
          <w:rFonts w:ascii="Calibri" w:hAnsi="Calibri"/>
          <w:sz w:val="24"/>
          <w:szCs w:val="24"/>
        </w:rPr>
        <w:t xml:space="preserve"> totaled $</w:t>
      </w:r>
      <w:r w:rsidR="00D80EED">
        <w:rPr>
          <w:rFonts w:ascii="Calibri" w:hAnsi="Calibri"/>
          <w:sz w:val="24"/>
          <w:szCs w:val="24"/>
        </w:rPr>
        <w:t>7</w:t>
      </w:r>
      <w:r w:rsidR="007A1D05">
        <w:rPr>
          <w:rFonts w:ascii="Calibri" w:hAnsi="Calibri"/>
          <w:sz w:val="24"/>
          <w:szCs w:val="24"/>
        </w:rPr>
        <w:t>8</w:t>
      </w:r>
      <w:r w:rsidR="0024357B">
        <w:rPr>
          <w:rFonts w:ascii="Calibri" w:hAnsi="Calibri"/>
          <w:sz w:val="24"/>
          <w:szCs w:val="24"/>
        </w:rPr>
        <w:t>3</w:t>
      </w:r>
      <w:r w:rsidR="002325D1">
        <w:rPr>
          <w:rFonts w:ascii="Calibri" w:hAnsi="Calibri"/>
          <w:sz w:val="24"/>
          <w:szCs w:val="24"/>
        </w:rPr>
        <w:t>,</w:t>
      </w:r>
      <w:r w:rsidR="0024357B">
        <w:rPr>
          <w:rFonts w:ascii="Calibri" w:hAnsi="Calibri"/>
          <w:sz w:val="24"/>
          <w:szCs w:val="24"/>
        </w:rPr>
        <w:t>035</w:t>
      </w:r>
      <w:r w:rsidR="002325D1">
        <w:rPr>
          <w:rFonts w:ascii="Calibri" w:hAnsi="Calibri"/>
          <w:sz w:val="24"/>
          <w:szCs w:val="24"/>
        </w:rPr>
        <w:t>,</w:t>
      </w:r>
      <w:r w:rsidR="007A1D05">
        <w:rPr>
          <w:rFonts w:ascii="Calibri" w:hAnsi="Calibri"/>
          <w:sz w:val="24"/>
          <w:szCs w:val="24"/>
        </w:rPr>
        <w:t>0</w:t>
      </w:r>
      <w:r w:rsidR="0024357B">
        <w:rPr>
          <w:rFonts w:ascii="Calibri" w:hAnsi="Calibri"/>
          <w:sz w:val="24"/>
          <w:szCs w:val="24"/>
        </w:rPr>
        <w:t>01</w:t>
      </w:r>
      <w:r w:rsidR="002325D1">
        <w:rPr>
          <w:rFonts w:ascii="Calibri" w:hAnsi="Calibri"/>
          <w:sz w:val="24"/>
          <w:szCs w:val="24"/>
        </w:rPr>
        <w:t>.  However, the covered payroll contributions total includes prior year covered payroll contribution adjustments and true-ups that net to a total of $</w:t>
      </w:r>
      <w:r w:rsidR="007A1D05">
        <w:rPr>
          <w:rFonts w:ascii="Calibri" w:hAnsi="Calibri"/>
          <w:sz w:val="24"/>
          <w:szCs w:val="24"/>
        </w:rPr>
        <w:t>2</w:t>
      </w:r>
      <w:r w:rsidR="00D80EED">
        <w:rPr>
          <w:rFonts w:ascii="Calibri" w:hAnsi="Calibri"/>
          <w:sz w:val="24"/>
          <w:szCs w:val="24"/>
        </w:rPr>
        <w:t>77</w:t>
      </w:r>
      <w:r w:rsidR="008E2DBA">
        <w:rPr>
          <w:rFonts w:ascii="Calibri" w:hAnsi="Calibri"/>
          <w:sz w:val="24"/>
          <w:szCs w:val="24"/>
        </w:rPr>
        <w:t>,</w:t>
      </w:r>
      <w:r w:rsidR="00D80EED">
        <w:rPr>
          <w:rFonts w:ascii="Calibri" w:hAnsi="Calibri"/>
          <w:sz w:val="24"/>
          <w:szCs w:val="24"/>
        </w:rPr>
        <w:t>9</w:t>
      </w:r>
      <w:r w:rsidR="007A1D05">
        <w:rPr>
          <w:rFonts w:ascii="Calibri" w:hAnsi="Calibri"/>
          <w:sz w:val="24"/>
          <w:szCs w:val="24"/>
        </w:rPr>
        <w:t>23</w:t>
      </w:r>
      <w:r w:rsidR="002325D1">
        <w:rPr>
          <w:rFonts w:ascii="Calibri" w:hAnsi="Calibri"/>
          <w:sz w:val="24"/>
          <w:szCs w:val="24"/>
        </w:rPr>
        <w:t>.</w:t>
      </w:r>
    </w:p>
    <w:p w14:paraId="0C8976D4" w14:textId="77777777" w:rsidR="00794E29" w:rsidRDefault="00794E29" w:rsidP="0059318D">
      <w:pPr>
        <w:spacing w:after="0"/>
        <w:jc w:val="both"/>
        <w:rPr>
          <w:rFonts w:ascii="Calibri" w:hAnsi="Calibri"/>
          <w:sz w:val="24"/>
          <w:szCs w:val="24"/>
        </w:rPr>
      </w:pPr>
    </w:p>
    <w:p w14:paraId="10A062DC" w14:textId="77777777" w:rsidR="007A5F93" w:rsidRDefault="00982928" w:rsidP="0059318D">
      <w:pPr>
        <w:spacing w:after="0"/>
        <w:jc w:val="both"/>
        <w:rPr>
          <w:rFonts w:ascii="Calibri" w:hAnsi="Calibri"/>
          <w:sz w:val="24"/>
          <w:szCs w:val="24"/>
        </w:rPr>
      </w:pPr>
      <w:r>
        <w:rPr>
          <w:rFonts w:ascii="Calibri" w:hAnsi="Calibri"/>
          <w:sz w:val="24"/>
          <w:szCs w:val="24"/>
        </w:rPr>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14:paraId="73FD4A7B" w14:textId="77777777" w:rsidR="00982928" w:rsidRDefault="00982928" w:rsidP="0059318D">
      <w:pPr>
        <w:spacing w:after="0"/>
        <w:jc w:val="both"/>
        <w:rPr>
          <w:rFonts w:ascii="Calibri" w:hAnsi="Calibri"/>
          <w:sz w:val="24"/>
          <w:szCs w:val="24"/>
        </w:rPr>
      </w:pPr>
    </w:p>
    <w:p w14:paraId="571F46F5" w14:textId="77777777" w:rsidR="00982928" w:rsidRDefault="00982928" w:rsidP="00982928">
      <w:pPr>
        <w:spacing w:after="0"/>
        <w:jc w:val="both"/>
        <w:rPr>
          <w:rFonts w:ascii="Calibri" w:hAnsi="Calibri"/>
          <w:sz w:val="24"/>
          <w:szCs w:val="24"/>
        </w:rPr>
      </w:pPr>
      <w:r>
        <w:rPr>
          <w:rFonts w:ascii="Calibri" w:hAnsi="Calibri"/>
          <w:sz w:val="24"/>
          <w:szCs w:val="24"/>
        </w:rPr>
        <w:t xml:space="preserve">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w:t>
      </w:r>
      <w:proofErr w:type="gramStart"/>
      <w:r>
        <w:rPr>
          <w:rFonts w:ascii="Calibri" w:hAnsi="Calibri"/>
          <w:sz w:val="24"/>
          <w:szCs w:val="24"/>
        </w:rPr>
        <w:t>due</w:t>
      </w:r>
      <w:proofErr w:type="gramEnd"/>
      <w:r>
        <w:rPr>
          <w:rFonts w:ascii="Calibri" w:hAnsi="Calibri"/>
          <w:sz w:val="24"/>
          <w:szCs w:val="24"/>
        </w:rPr>
        <w:t xml:space="preserve"> and payable.  Investments are reported </w:t>
      </w:r>
      <w:proofErr w:type="gramStart"/>
      <w:r>
        <w:rPr>
          <w:rFonts w:ascii="Calibri" w:hAnsi="Calibri"/>
          <w:sz w:val="24"/>
          <w:szCs w:val="24"/>
        </w:rPr>
        <w:t>at</w:t>
      </w:r>
      <w:proofErr w:type="gramEnd"/>
      <w:r>
        <w:rPr>
          <w:rFonts w:ascii="Calibri" w:hAnsi="Calibri"/>
          <w:sz w:val="24"/>
          <w:szCs w:val="24"/>
        </w:rPr>
        <w:t xml:space="preserve"> fair value.</w:t>
      </w:r>
    </w:p>
    <w:p w14:paraId="65F20762" w14:textId="77777777" w:rsidR="00982928" w:rsidRDefault="00982928" w:rsidP="00982928">
      <w:pPr>
        <w:spacing w:after="0"/>
        <w:jc w:val="both"/>
        <w:rPr>
          <w:rFonts w:ascii="Calibri" w:hAnsi="Calibri"/>
          <w:sz w:val="24"/>
          <w:szCs w:val="24"/>
        </w:rPr>
      </w:pPr>
    </w:p>
    <w:p w14:paraId="11122767" w14:textId="77777777" w:rsidR="00982928" w:rsidRPr="00CD07E8" w:rsidRDefault="002B7D61" w:rsidP="00982928">
      <w:pPr>
        <w:spacing w:after="0"/>
        <w:jc w:val="both"/>
        <w:rPr>
          <w:sz w:val="24"/>
          <w:szCs w:val="24"/>
        </w:rPr>
      </w:pPr>
      <w:r>
        <w:rPr>
          <w:sz w:val="24"/>
          <w:szCs w:val="24"/>
        </w:rPr>
        <w:t>PEBA – Insurance Benefits</w:t>
      </w:r>
      <w:r w:rsidR="00982928" w:rsidRPr="00CD07E8">
        <w:rPr>
          <w:sz w:val="24"/>
          <w:szCs w:val="24"/>
        </w:rPr>
        <w:t xml:space="preserve"> issues audited financial statements and required supplementary information for the OPEB Trust Funds.  This information is publicly available through the</w:t>
      </w:r>
      <w:r w:rsidR="00794E29">
        <w:rPr>
          <w:sz w:val="24"/>
          <w:szCs w:val="24"/>
        </w:rPr>
        <w:t xml:space="preserve"> PEBA –</w:t>
      </w:r>
      <w:r w:rsidR="00982928" w:rsidRPr="00CD07E8">
        <w:rPr>
          <w:sz w:val="24"/>
          <w:szCs w:val="24"/>
        </w:rPr>
        <w:t xml:space="preserve"> Insurance Benefits’ link on PEBA’s website at </w:t>
      </w:r>
      <w:hyperlink r:id="rId8" w:history="1">
        <w:r w:rsidR="00982928" w:rsidRPr="00CD07E8">
          <w:rPr>
            <w:rStyle w:val="Hyperlink"/>
            <w:sz w:val="24"/>
            <w:szCs w:val="24"/>
          </w:rPr>
          <w:t>www.peba.sc.gov</w:t>
        </w:r>
      </w:hyperlink>
      <w:r w:rsidR="00982928"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14:paraId="007E4402" w14:textId="77777777" w:rsidR="00982928" w:rsidRDefault="00982928" w:rsidP="0059318D">
      <w:pPr>
        <w:spacing w:after="0"/>
        <w:jc w:val="both"/>
        <w:rPr>
          <w:rFonts w:ascii="Calibri" w:hAnsi="Calibri"/>
          <w:sz w:val="24"/>
          <w:szCs w:val="24"/>
        </w:rPr>
      </w:pPr>
    </w:p>
    <w:p w14:paraId="0703ACF0" w14:textId="77777777" w:rsidR="0059318D" w:rsidRPr="00CE37E3" w:rsidRDefault="00CE37E3" w:rsidP="0059318D">
      <w:pPr>
        <w:spacing w:after="0"/>
        <w:jc w:val="both"/>
        <w:rPr>
          <w:rFonts w:ascii="Calibri" w:hAnsi="Calibri"/>
          <w:b/>
          <w:sz w:val="24"/>
          <w:szCs w:val="24"/>
        </w:rPr>
      </w:pPr>
      <w:r w:rsidRPr="00CE37E3">
        <w:rPr>
          <w:rFonts w:ascii="Calibri" w:hAnsi="Calibri"/>
          <w:b/>
          <w:sz w:val="24"/>
          <w:szCs w:val="24"/>
        </w:rPr>
        <w:t>Note 2</w:t>
      </w:r>
      <w:proofErr w:type="gramStart"/>
      <w:r w:rsidRPr="00CE37E3">
        <w:rPr>
          <w:rFonts w:ascii="Calibri" w:hAnsi="Calibri"/>
          <w:b/>
          <w:sz w:val="24"/>
          <w:szCs w:val="24"/>
        </w:rPr>
        <w:t xml:space="preserve">:  </w:t>
      </w:r>
      <w:r w:rsidR="0059318D" w:rsidRPr="00CE37E3">
        <w:rPr>
          <w:rFonts w:ascii="Calibri" w:hAnsi="Calibri"/>
          <w:b/>
          <w:sz w:val="24"/>
          <w:szCs w:val="24"/>
        </w:rPr>
        <w:t>Actuarial</w:t>
      </w:r>
      <w:proofErr w:type="gramEnd"/>
      <w:r w:rsidR="0059318D" w:rsidRPr="00CE37E3">
        <w:rPr>
          <w:rFonts w:ascii="Calibri" w:hAnsi="Calibri"/>
          <w:b/>
          <w:sz w:val="24"/>
          <w:szCs w:val="24"/>
        </w:rPr>
        <w:t xml:space="preserve"> Assumptions</w:t>
      </w:r>
      <w:r w:rsidR="0006430D" w:rsidRPr="00CE37E3">
        <w:rPr>
          <w:rFonts w:ascii="Calibri" w:hAnsi="Calibri"/>
          <w:b/>
          <w:sz w:val="24"/>
          <w:szCs w:val="24"/>
        </w:rPr>
        <w:t xml:space="preserve"> and Methods</w:t>
      </w:r>
    </w:p>
    <w:p w14:paraId="330E2D1C" w14:textId="77777777" w:rsidR="0006430D" w:rsidRPr="00D46A32" w:rsidRDefault="0006430D" w:rsidP="0006430D">
      <w:pPr>
        <w:pStyle w:val="NoSpacing"/>
        <w:jc w:val="both"/>
        <w:rPr>
          <w:rFonts w:ascii="Calibri" w:hAnsi="Calibri"/>
          <w:sz w:val="24"/>
          <w:szCs w:val="24"/>
        </w:rPr>
      </w:pPr>
      <w:r w:rsidRPr="00D46A32">
        <w:rPr>
          <w:rFonts w:ascii="Calibri" w:hAnsi="Calibri"/>
          <w:sz w:val="24"/>
          <w:szCs w:val="24"/>
        </w:rPr>
        <w:t xml:space="preserve">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w:t>
      </w:r>
    </w:p>
    <w:p w14:paraId="16B33919" w14:textId="77777777" w:rsidR="0006430D" w:rsidRDefault="0006430D" w:rsidP="007A5F93">
      <w:pPr>
        <w:pStyle w:val="NoSpacing"/>
        <w:jc w:val="both"/>
        <w:rPr>
          <w:rFonts w:ascii="Calibri" w:hAnsi="Calibri"/>
          <w:sz w:val="24"/>
          <w:szCs w:val="24"/>
        </w:rPr>
      </w:pPr>
      <w:r>
        <w:rPr>
          <w:rFonts w:ascii="Calibri" w:hAnsi="Calibri"/>
          <w:sz w:val="24"/>
          <w:szCs w:val="24"/>
        </w:rPr>
        <w:lastRenderedPageBreak/>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w:t>
      </w:r>
    </w:p>
    <w:p w14:paraId="74A23C9C" w14:textId="77777777" w:rsidR="007A5F93" w:rsidRDefault="007A5F93" w:rsidP="007A5F93">
      <w:pPr>
        <w:pStyle w:val="NoSpacing"/>
        <w:jc w:val="both"/>
        <w:rPr>
          <w:rFonts w:ascii="Calibri" w:hAnsi="Calibri"/>
          <w:sz w:val="24"/>
          <w:szCs w:val="24"/>
        </w:rPr>
      </w:pPr>
    </w:p>
    <w:p w14:paraId="0EFC2649" w14:textId="77777777" w:rsidR="0006430D" w:rsidRPr="00D762C9" w:rsidRDefault="0006430D" w:rsidP="0006430D">
      <w:pPr>
        <w:pStyle w:val="NoSpacing"/>
        <w:jc w:val="both"/>
        <w:rPr>
          <w:rFonts w:ascii="Calibri" w:hAnsi="Calibri"/>
          <w:sz w:val="24"/>
          <w:szCs w:val="24"/>
        </w:rPr>
      </w:pPr>
      <w:r w:rsidRPr="00D762C9">
        <w:rPr>
          <w:rFonts w:ascii="Calibri" w:hAnsi="Calibri"/>
          <w:sz w:val="24"/>
          <w:szCs w:val="24"/>
        </w:rPr>
        <w:t>Additional information as of the latest actuarial valuation for SCRHITF:</w:t>
      </w:r>
    </w:p>
    <w:p w14:paraId="7A556A80" w14:textId="77777777" w:rsidR="0006430D" w:rsidRPr="00D762C9" w:rsidRDefault="0006430D" w:rsidP="0006430D">
      <w:pPr>
        <w:pStyle w:val="NoSpacing"/>
        <w:ind w:left="720"/>
        <w:jc w:val="both"/>
        <w:rPr>
          <w:rFonts w:ascii="Calibri" w:hAnsi="Calibri"/>
          <w:sz w:val="12"/>
          <w:szCs w:val="12"/>
        </w:rPr>
      </w:pPr>
    </w:p>
    <w:p w14:paraId="39E3A23E" w14:textId="13CA09F1" w:rsidR="0006430D" w:rsidRPr="00D762C9" w:rsidRDefault="0095119E" w:rsidP="0006430D">
      <w:pPr>
        <w:pStyle w:val="NoSpacing"/>
        <w:ind w:left="720"/>
        <w:jc w:val="both"/>
        <w:rPr>
          <w:rFonts w:ascii="Calibri" w:hAnsi="Calibri"/>
          <w:sz w:val="24"/>
          <w:szCs w:val="24"/>
        </w:rPr>
      </w:pPr>
      <w:r w:rsidRPr="00D762C9">
        <w:rPr>
          <w:rFonts w:ascii="Calibri" w:hAnsi="Calibri"/>
          <w:sz w:val="24"/>
          <w:szCs w:val="24"/>
        </w:rPr>
        <w:t>Valuation Date</w:t>
      </w:r>
      <w:proofErr w:type="gramStart"/>
      <w:r w:rsidRPr="00D762C9">
        <w:rPr>
          <w:rFonts w:ascii="Calibri" w:hAnsi="Calibri"/>
          <w:sz w:val="24"/>
          <w:szCs w:val="24"/>
        </w:rPr>
        <w:t>:</w:t>
      </w:r>
      <w:r w:rsidRPr="00D762C9">
        <w:rPr>
          <w:rFonts w:ascii="Calibri" w:hAnsi="Calibri"/>
          <w:sz w:val="24"/>
          <w:szCs w:val="24"/>
        </w:rPr>
        <w:tab/>
      </w:r>
      <w:r w:rsidRPr="00D762C9">
        <w:rPr>
          <w:rFonts w:ascii="Calibri" w:hAnsi="Calibri"/>
          <w:sz w:val="24"/>
          <w:szCs w:val="24"/>
        </w:rPr>
        <w:tab/>
        <w:t>June</w:t>
      </w:r>
      <w:proofErr w:type="gramEnd"/>
      <w:r w:rsidRPr="00D762C9">
        <w:rPr>
          <w:rFonts w:ascii="Calibri" w:hAnsi="Calibri"/>
          <w:sz w:val="24"/>
          <w:szCs w:val="24"/>
        </w:rPr>
        <w:t xml:space="preserve"> 30, 20</w:t>
      </w:r>
      <w:r w:rsidR="006E4F94">
        <w:rPr>
          <w:rFonts w:ascii="Calibri" w:hAnsi="Calibri"/>
          <w:sz w:val="24"/>
          <w:szCs w:val="24"/>
        </w:rPr>
        <w:t>2</w:t>
      </w:r>
      <w:r w:rsidR="007A1D05">
        <w:rPr>
          <w:rFonts w:ascii="Calibri" w:hAnsi="Calibri"/>
          <w:sz w:val="24"/>
          <w:szCs w:val="24"/>
        </w:rPr>
        <w:t>4</w:t>
      </w:r>
    </w:p>
    <w:p w14:paraId="6CD3F42B" w14:textId="160E4A82"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1A4B190C" w14:textId="77777777"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E0CABEA" w14:textId="77777777" w:rsidR="0006430D" w:rsidRPr="00D762C9" w:rsidRDefault="0006430D" w:rsidP="00AB219E">
      <w:pPr>
        <w:pStyle w:val="NoSpacing"/>
        <w:ind w:left="3600" w:hanging="288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2</w:t>
      </w:r>
      <w:r w:rsidRPr="00D762C9">
        <w:rPr>
          <w:rFonts w:ascii="Calibri" w:hAnsi="Calibri"/>
          <w:sz w:val="24"/>
          <w:szCs w:val="24"/>
        </w:rPr>
        <w:t>.</w:t>
      </w:r>
      <w:r w:rsidR="00413B79" w:rsidRPr="00D762C9">
        <w:rPr>
          <w:rFonts w:ascii="Calibri" w:hAnsi="Calibri"/>
          <w:sz w:val="24"/>
          <w:szCs w:val="24"/>
        </w:rPr>
        <w:t>75</w:t>
      </w:r>
      <w:r w:rsidR="009C4CCA" w:rsidRPr="00D762C9">
        <w:rPr>
          <w:rFonts w:ascii="Calibri" w:hAnsi="Calibri"/>
          <w:sz w:val="24"/>
          <w:szCs w:val="24"/>
        </w:rPr>
        <w:t>%</w:t>
      </w:r>
      <w:r w:rsidRPr="00D762C9">
        <w:rPr>
          <w:rFonts w:ascii="Calibri" w:hAnsi="Calibri"/>
          <w:sz w:val="24"/>
          <w:szCs w:val="24"/>
        </w:rPr>
        <w:t>, net of OPEB Plan investment expense; including inflation</w:t>
      </w:r>
    </w:p>
    <w:p w14:paraId="572BFF95" w14:textId="67FBB843" w:rsidR="0006430D" w:rsidRPr="00D762C9" w:rsidRDefault="009C4CCA" w:rsidP="0006430D">
      <w:pPr>
        <w:pStyle w:val="NoSpacing"/>
        <w:ind w:left="720"/>
        <w:rPr>
          <w:rFonts w:ascii="Calibri" w:hAnsi="Calibri"/>
          <w:sz w:val="24"/>
          <w:szCs w:val="24"/>
        </w:rPr>
      </w:pPr>
      <w:r w:rsidRPr="00D762C9">
        <w:rPr>
          <w:rFonts w:ascii="Calibri" w:hAnsi="Calibri"/>
          <w:sz w:val="24"/>
          <w:szCs w:val="24"/>
        </w:rPr>
        <w:t>Single Discount Rate</w:t>
      </w:r>
      <w:proofErr w:type="gramStart"/>
      <w:r w:rsidRPr="00D762C9">
        <w:rPr>
          <w:rFonts w:ascii="Calibri" w:hAnsi="Calibri"/>
          <w:sz w:val="24"/>
          <w:szCs w:val="24"/>
        </w:rPr>
        <w:t>:</w:t>
      </w:r>
      <w:r w:rsidRPr="00D762C9">
        <w:rPr>
          <w:rFonts w:ascii="Calibri" w:hAnsi="Calibri"/>
          <w:sz w:val="24"/>
          <w:szCs w:val="24"/>
        </w:rPr>
        <w:tab/>
      </w:r>
      <w:r w:rsidRPr="00D762C9">
        <w:rPr>
          <w:rFonts w:ascii="Calibri" w:hAnsi="Calibri"/>
          <w:sz w:val="24"/>
          <w:szCs w:val="24"/>
        </w:rPr>
        <w:tab/>
      </w:r>
      <w:r w:rsidR="007A1D05">
        <w:rPr>
          <w:rFonts w:ascii="Calibri" w:hAnsi="Calibri"/>
          <w:sz w:val="24"/>
          <w:szCs w:val="24"/>
        </w:rPr>
        <w:t>5</w:t>
      </w:r>
      <w:r w:rsidR="00202D6B">
        <w:rPr>
          <w:rFonts w:ascii="Calibri" w:hAnsi="Calibri"/>
          <w:sz w:val="24"/>
          <w:szCs w:val="24"/>
        </w:rPr>
        <w:t>.</w:t>
      </w:r>
      <w:r w:rsidR="007A1D05">
        <w:rPr>
          <w:rFonts w:ascii="Calibri" w:hAnsi="Calibri"/>
          <w:sz w:val="24"/>
          <w:szCs w:val="24"/>
        </w:rPr>
        <w:t>05</w:t>
      </w:r>
      <w:proofErr w:type="gramEnd"/>
      <w:r w:rsidR="0006430D" w:rsidRPr="00D762C9">
        <w:rPr>
          <w:rFonts w:ascii="Calibri" w:hAnsi="Calibri"/>
          <w:sz w:val="24"/>
          <w:szCs w:val="24"/>
        </w:rPr>
        <w:t>% as of</w:t>
      </w:r>
      <w:r w:rsidRPr="00D762C9">
        <w:rPr>
          <w:rFonts w:ascii="Calibri" w:hAnsi="Calibri"/>
          <w:sz w:val="24"/>
          <w:szCs w:val="24"/>
        </w:rPr>
        <w:t xml:space="preserve"> June 30, 20</w:t>
      </w:r>
      <w:r w:rsidR="00D762C9">
        <w:rPr>
          <w:rFonts w:ascii="Calibri" w:hAnsi="Calibri"/>
          <w:sz w:val="24"/>
          <w:szCs w:val="24"/>
        </w:rPr>
        <w:t>2</w:t>
      </w:r>
      <w:r w:rsidR="007A1D05">
        <w:rPr>
          <w:rFonts w:ascii="Calibri" w:hAnsi="Calibri"/>
          <w:sz w:val="24"/>
          <w:szCs w:val="24"/>
        </w:rPr>
        <w:t>5</w:t>
      </w:r>
    </w:p>
    <w:p w14:paraId="4DF8CD39" w14:textId="5C7182B6"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Demographic Assumptions:</w:t>
      </w:r>
      <w:r w:rsidRPr="00D762C9">
        <w:rPr>
          <w:rFonts w:ascii="Calibri" w:hAnsi="Calibri"/>
          <w:sz w:val="24"/>
          <w:szCs w:val="24"/>
        </w:rPr>
        <w:tab/>
        <w:t>Based on the experience study performed for the South Carolina Retirement Systems for the 5-year period ending June 30, 20</w:t>
      </w:r>
      <w:r w:rsidR="007A1D05">
        <w:rPr>
          <w:rFonts w:ascii="Calibri" w:hAnsi="Calibri"/>
          <w:sz w:val="24"/>
          <w:szCs w:val="24"/>
        </w:rPr>
        <w:t>23</w:t>
      </w:r>
    </w:p>
    <w:p w14:paraId="5CE5D23B" w14:textId="547DED34" w:rsidR="00AB219E" w:rsidRPr="00D762C9" w:rsidRDefault="00AB219E" w:rsidP="0006430D">
      <w:pPr>
        <w:pStyle w:val="NoSpacing"/>
        <w:ind w:left="3600" w:hanging="2880"/>
        <w:rPr>
          <w:rFonts w:ascii="Calibri" w:hAnsi="Calibri"/>
          <w:sz w:val="24"/>
          <w:szCs w:val="24"/>
        </w:rPr>
      </w:pPr>
      <w:r w:rsidRPr="00D762C9">
        <w:rPr>
          <w:rFonts w:ascii="Calibri" w:hAnsi="Calibri"/>
          <w:sz w:val="24"/>
          <w:szCs w:val="24"/>
        </w:rPr>
        <w:t>Mortality:</w:t>
      </w:r>
      <w:r w:rsidRPr="00D762C9">
        <w:rPr>
          <w:rFonts w:ascii="Calibri" w:hAnsi="Calibri"/>
          <w:sz w:val="24"/>
          <w:szCs w:val="24"/>
        </w:rPr>
        <w:tab/>
      </w:r>
      <w:r w:rsidRPr="00D762C9">
        <w:rPr>
          <w:sz w:val="24"/>
          <w:szCs w:val="24"/>
        </w:rPr>
        <w:t xml:space="preserve">For healthy retirees, the </w:t>
      </w:r>
      <w:r w:rsidR="006E4F94">
        <w:rPr>
          <w:sz w:val="24"/>
          <w:szCs w:val="24"/>
        </w:rPr>
        <w:t xml:space="preserve">gender-distinct South Carolina Retirees 2020 Mortality Tables are used with </w:t>
      </w:r>
      <w:r w:rsidR="00202D6B">
        <w:rPr>
          <w:sz w:val="24"/>
          <w:szCs w:val="24"/>
        </w:rPr>
        <w:t xml:space="preserve">multipliers based on plan experience; the rates are projected on a fully generational </w:t>
      </w:r>
      <w:r w:rsidR="006E4F94">
        <w:rPr>
          <w:sz w:val="24"/>
          <w:szCs w:val="24"/>
        </w:rPr>
        <w:t xml:space="preserve">basis </w:t>
      </w:r>
      <w:r w:rsidR="00202D6B">
        <w:rPr>
          <w:sz w:val="24"/>
          <w:szCs w:val="24"/>
        </w:rPr>
        <w:t>using</w:t>
      </w:r>
      <w:r w:rsidR="006E4F94">
        <w:rPr>
          <w:sz w:val="24"/>
          <w:szCs w:val="24"/>
        </w:rPr>
        <w:t xml:space="preserve"> 80% of </w:t>
      </w:r>
      <w:r w:rsidR="00202D6B">
        <w:rPr>
          <w:sz w:val="24"/>
          <w:szCs w:val="24"/>
        </w:rPr>
        <w:t>the ultimate rates of S</w:t>
      </w:r>
      <w:r w:rsidR="006E4F94">
        <w:rPr>
          <w:sz w:val="24"/>
          <w:szCs w:val="24"/>
        </w:rPr>
        <w:t>cale MP</w:t>
      </w:r>
      <w:r w:rsidR="00202D6B">
        <w:rPr>
          <w:sz w:val="24"/>
          <w:szCs w:val="24"/>
        </w:rPr>
        <w:t>-20</w:t>
      </w:r>
      <w:r w:rsidR="007A1D05">
        <w:rPr>
          <w:sz w:val="24"/>
          <w:szCs w:val="24"/>
        </w:rPr>
        <w:t>2</w:t>
      </w:r>
      <w:r w:rsidR="00D37AF9">
        <w:rPr>
          <w:sz w:val="24"/>
          <w:szCs w:val="24"/>
        </w:rPr>
        <w:t>0</w:t>
      </w:r>
      <w:r w:rsidR="006E4F94">
        <w:rPr>
          <w:sz w:val="24"/>
          <w:szCs w:val="24"/>
        </w:rPr>
        <w:t xml:space="preserve"> to account for future mortality improvements.</w:t>
      </w:r>
    </w:p>
    <w:p w14:paraId="77BF090E" w14:textId="0FC4521F"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Health Care Trend Rate</w:t>
      </w:r>
      <w:r w:rsidR="009C4CCA" w:rsidRPr="00D762C9">
        <w:rPr>
          <w:rFonts w:ascii="Calibri" w:hAnsi="Calibri"/>
          <w:sz w:val="24"/>
          <w:szCs w:val="24"/>
        </w:rPr>
        <w:t>:</w:t>
      </w:r>
      <w:r w:rsidR="009C4CCA" w:rsidRPr="00D762C9">
        <w:rPr>
          <w:rFonts w:ascii="Calibri" w:hAnsi="Calibri"/>
          <w:sz w:val="24"/>
          <w:szCs w:val="24"/>
        </w:rPr>
        <w:tab/>
        <w:t>Initial trend starting at 6.</w:t>
      </w:r>
      <w:r w:rsidR="007A1D05">
        <w:rPr>
          <w:rFonts w:ascii="Calibri" w:hAnsi="Calibri"/>
          <w:sz w:val="24"/>
          <w:szCs w:val="24"/>
        </w:rPr>
        <w:t>8</w:t>
      </w:r>
      <w:r w:rsidR="00413B79" w:rsidRPr="00D762C9">
        <w:rPr>
          <w:rFonts w:ascii="Calibri" w:hAnsi="Calibri"/>
          <w:sz w:val="24"/>
          <w:szCs w:val="24"/>
        </w:rPr>
        <w:t>0</w:t>
      </w:r>
      <w:r w:rsidRPr="00D762C9">
        <w:rPr>
          <w:rFonts w:ascii="Calibri" w:hAnsi="Calibri"/>
          <w:sz w:val="24"/>
          <w:szCs w:val="24"/>
        </w:rPr>
        <w:t>% and gradually decreasing to an ultimate trend rate of 4.</w:t>
      </w:r>
      <w:r w:rsidR="00D80EED">
        <w:rPr>
          <w:rFonts w:ascii="Calibri" w:hAnsi="Calibri"/>
          <w:sz w:val="24"/>
          <w:szCs w:val="24"/>
        </w:rPr>
        <w:t>25</w:t>
      </w:r>
      <w:r w:rsidRPr="00D762C9">
        <w:rPr>
          <w:rFonts w:ascii="Calibri" w:hAnsi="Calibri"/>
          <w:sz w:val="24"/>
          <w:szCs w:val="24"/>
        </w:rPr>
        <w:t>% over a period of 1</w:t>
      </w:r>
      <w:r w:rsidR="007A1D05">
        <w:rPr>
          <w:rFonts w:ascii="Calibri" w:hAnsi="Calibri"/>
          <w:sz w:val="24"/>
          <w:szCs w:val="24"/>
        </w:rPr>
        <w:t>5</w:t>
      </w:r>
      <w:r w:rsidRPr="00D762C9">
        <w:rPr>
          <w:rFonts w:ascii="Calibri" w:hAnsi="Calibri"/>
          <w:sz w:val="24"/>
          <w:szCs w:val="24"/>
        </w:rPr>
        <w:t xml:space="preserve"> years</w:t>
      </w:r>
    </w:p>
    <w:p w14:paraId="6AC5AC11" w14:textId="2F01D231" w:rsidR="00202D6B" w:rsidRDefault="00202D6B" w:rsidP="0006430D">
      <w:pPr>
        <w:pStyle w:val="NoSpacing"/>
        <w:ind w:left="720"/>
        <w:rPr>
          <w:rFonts w:ascii="Calibri" w:hAnsi="Calibri"/>
          <w:sz w:val="24"/>
          <w:szCs w:val="24"/>
        </w:rPr>
      </w:pPr>
      <w:r>
        <w:rPr>
          <w:rFonts w:ascii="Calibri" w:hAnsi="Calibri"/>
          <w:sz w:val="24"/>
          <w:szCs w:val="24"/>
        </w:rPr>
        <w:t>Aging Factors:</w:t>
      </w:r>
      <w:r>
        <w:rPr>
          <w:rFonts w:ascii="Calibri" w:hAnsi="Calibri"/>
          <w:sz w:val="24"/>
          <w:szCs w:val="24"/>
        </w:rPr>
        <w:tab/>
      </w:r>
      <w:r>
        <w:rPr>
          <w:rFonts w:ascii="Calibri" w:hAnsi="Calibri"/>
          <w:sz w:val="24"/>
          <w:szCs w:val="24"/>
        </w:rPr>
        <w:tab/>
      </w:r>
      <w:r>
        <w:rPr>
          <w:rFonts w:ascii="Calibri" w:hAnsi="Calibri"/>
          <w:sz w:val="24"/>
          <w:szCs w:val="24"/>
        </w:rPr>
        <w:tab/>
        <w:t xml:space="preserve">Based on </w:t>
      </w:r>
      <w:proofErr w:type="gramStart"/>
      <w:r>
        <w:rPr>
          <w:rFonts w:ascii="Calibri" w:hAnsi="Calibri"/>
          <w:sz w:val="24"/>
          <w:szCs w:val="24"/>
        </w:rPr>
        <w:t>plan</w:t>
      </w:r>
      <w:proofErr w:type="gramEnd"/>
      <w:r>
        <w:rPr>
          <w:rFonts w:ascii="Calibri" w:hAnsi="Calibri"/>
          <w:sz w:val="24"/>
          <w:szCs w:val="24"/>
        </w:rPr>
        <w:t xml:space="preserve"> specific experience</w:t>
      </w:r>
    </w:p>
    <w:p w14:paraId="76CB664D" w14:textId="065F19DE" w:rsidR="00AB219E" w:rsidRPr="00D762C9" w:rsidRDefault="00AB219E" w:rsidP="0006430D">
      <w:pPr>
        <w:pStyle w:val="NoSpacing"/>
        <w:ind w:left="720"/>
        <w:rPr>
          <w:rFonts w:ascii="Calibri" w:hAnsi="Calibri"/>
          <w:sz w:val="24"/>
          <w:szCs w:val="24"/>
        </w:rPr>
      </w:pPr>
      <w:r w:rsidRPr="00D762C9">
        <w:rPr>
          <w:rFonts w:ascii="Calibri" w:hAnsi="Calibri"/>
          <w:sz w:val="24"/>
          <w:szCs w:val="24"/>
        </w:rPr>
        <w:t>Retiree Participation</w:t>
      </w:r>
      <w:proofErr w:type="gramStart"/>
      <w:r w:rsidRPr="00D762C9">
        <w:rPr>
          <w:rFonts w:ascii="Calibri" w:hAnsi="Calibri"/>
          <w:sz w:val="24"/>
          <w:szCs w:val="24"/>
        </w:rPr>
        <w:t>:</w:t>
      </w:r>
      <w:r w:rsidRPr="00D762C9">
        <w:rPr>
          <w:rFonts w:ascii="Calibri" w:hAnsi="Calibri"/>
          <w:sz w:val="24"/>
          <w:szCs w:val="24"/>
        </w:rPr>
        <w:tab/>
      </w:r>
      <w:r w:rsidRPr="00D762C9">
        <w:rPr>
          <w:rFonts w:ascii="Calibri" w:hAnsi="Calibri"/>
          <w:sz w:val="24"/>
          <w:szCs w:val="24"/>
        </w:rPr>
        <w:tab/>
        <w:t>7</w:t>
      </w:r>
      <w:r w:rsidR="007A1D05">
        <w:rPr>
          <w:rFonts w:ascii="Calibri" w:hAnsi="Calibri"/>
          <w:sz w:val="24"/>
          <w:szCs w:val="24"/>
        </w:rPr>
        <w:t>5</w:t>
      </w:r>
      <w:proofErr w:type="gramEnd"/>
      <w:r w:rsidRPr="00D762C9">
        <w:rPr>
          <w:rFonts w:ascii="Calibri" w:hAnsi="Calibri"/>
          <w:sz w:val="24"/>
          <w:szCs w:val="24"/>
        </w:rPr>
        <w:t>% for retirees who are eligible for funded premiums</w:t>
      </w:r>
    </w:p>
    <w:p w14:paraId="7420A0DD" w14:textId="5E7D9D98" w:rsidR="009C4CCA" w:rsidRPr="00D762C9" w:rsidRDefault="009C4CCA" w:rsidP="0006430D">
      <w:pPr>
        <w:pStyle w:val="NoSpacing"/>
        <w:ind w:left="720"/>
        <w:rPr>
          <w:rFonts w:ascii="Calibri" w:hAnsi="Calibri"/>
          <w:sz w:val="24"/>
          <w:szCs w:val="24"/>
        </w:rPr>
      </w:pP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007A1D05">
        <w:rPr>
          <w:rFonts w:ascii="Calibri" w:hAnsi="Calibri"/>
          <w:sz w:val="24"/>
          <w:szCs w:val="24"/>
        </w:rPr>
        <w:t>60</w:t>
      </w:r>
      <w:r w:rsidRPr="00D762C9">
        <w:rPr>
          <w:rFonts w:ascii="Calibri" w:hAnsi="Calibri"/>
          <w:sz w:val="24"/>
          <w:szCs w:val="24"/>
        </w:rPr>
        <w:t xml:space="preserve">% participation for retirees who are eligible for Partial </w:t>
      </w:r>
    </w:p>
    <w:p w14:paraId="22C83918"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Funded Premiums</w:t>
      </w:r>
    </w:p>
    <w:p w14:paraId="76431C77"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20% participation for retirees who are eligible for Non-</w:t>
      </w:r>
    </w:p>
    <w:p w14:paraId="07A7FDC4" w14:textId="77777777" w:rsidR="009C4CCA" w:rsidRPr="00D762C9" w:rsidRDefault="009C4CCA" w:rsidP="009C4CCA">
      <w:pPr>
        <w:pStyle w:val="NoSpacing"/>
        <w:ind w:left="3600"/>
        <w:rPr>
          <w:rFonts w:ascii="Calibri" w:hAnsi="Calibri"/>
          <w:sz w:val="24"/>
          <w:szCs w:val="24"/>
        </w:rPr>
      </w:pPr>
      <w:r w:rsidRPr="00D762C9">
        <w:rPr>
          <w:rFonts w:ascii="Calibri" w:hAnsi="Calibri"/>
          <w:sz w:val="24"/>
          <w:szCs w:val="24"/>
        </w:rPr>
        <w:t>Funded Premiums</w:t>
      </w:r>
    </w:p>
    <w:p w14:paraId="7FBDF3DE" w14:textId="000F2324" w:rsidR="00D762C9" w:rsidRDefault="0006430D" w:rsidP="00D762C9">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The</w:t>
      </w:r>
      <w:r w:rsidR="009C4CCA" w:rsidRPr="00D762C9">
        <w:rPr>
          <w:rFonts w:ascii="Calibri" w:hAnsi="Calibri"/>
          <w:sz w:val="24"/>
          <w:szCs w:val="24"/>
        </w:rPr>
        <w:t xml:space="preserve"> discount rate changed from </w:t>
      </w:r>
      <w:r w:rsidR="00C8065A">
        <w:rPr>
          <w:rFonts w:ascii="Calibri" w:hAnsi="Calibri"/>
          <w:sz w:val="24"/>
          <w:szCs w:val="24"/>
        </w:rPr>
        <w:t>3.</w:t>
      </w:r>
      <w:r w:rsidR="007A1D05">
        <w:rPr>
          <w:rFonts w:ascii="Calibri" w:hAnsi="Calibri"/>
          <w:sz w:val="24"/>
          <w:szCs w:val="24"/>
        </w:rPr>
        <w:t>97</w:t>
      </w:r>
      <w:r w:rsidR="009C4CCA" w:rsidRPr="00D762C9">
        <w:rPr>
          <w:rFonts w:ascii="Calibri" w:hAnsi="Calibri"/>
          <w:sz w:val="24"/>
          <w:szCs w:val="24"/>
        </w:rPr>
        <w:t>% as of June 30, 20</w:t>
      </w:r>
      <w:r w:rsidR="006E4F94">
        <w:rPr>
          <w:rFonts w:ascii="Calibri" w:hAnsi="Calibri"/>
          <w:sz w:val="24"/>
          <w:szCs w:val="24"/>
        </w:rPr>
        <w:t>2</w:t>
      </w:r>
      <w:r w:rsidR="007A1D05">
        <w:rPr>
          <w:rFonts w:ascii="Calibri" w:hAnsi="Calibri"/>
          <w:sz w:val="24"/>
          <w:szCs w:val="24"/>
        </w:rPr>
        <w:t>4</w:t>
      </w:r>
    </w:p>
    <w:p w14:paraId="03291B21" w14:textId="6AE68548" w:rsidR="0059318D" w:rsidRPr="0059318D" w:rsidRDefault="009C4CCA" w:rsidP="00D762C9">
      <w:pPr>
        <w:pStyle w:val="NoSpacing"/>
        <w:ind w:left="3600"/>
        <w:rPr>
          <w:rFonts w:ascii="Calibri" w:hAnsi="Calibri"/>
          <w:sz w:val="24"/>
          <w:szCs w:val="24"/>
        </w:rPr>
      </w:pPr>
      <w:r w:rsidRPr="00D762C9">
        <w:rPr>
          <w:rFonts w:ascii="Calibri" w:hAnsi="Calibri"/>
          <w:sz w:val="24"/>
          <w:szCs w:val="24"/>
        </w:rPr>
        <w:t xml:space="preserve">to </w:t>
      </w:r>
      <w:r w:rsidR="007A1D05">
        <w:rPr>
          <w:rFonts w:ascii="Calibri" w:hAnsi="Calibri"/>
          <w:sz w:val="24"/>
          <w:szCs w:val="24"/>
        </w:rPr>
        <w:t>5.05</w:t>
      </w:r>
      <w:r w:rsidRPr="00D762C9">
        <w:rPr>
          <w:rFonts w:ascii="Calibri" w:hAnsi="Calibri"/>
          <w:sz w:val="24"/>
          <w:szCs w:val="24"/>
        </w:rPr>
        <w:t>% as of June 30, 20</w:t>
      </w:r>
      <w:r w:rsidR="00D762C9">
        <w:rPr>
          <w:rFonts w:ascii="Calibri" w:hAnsi="Calibri"/>
          <w:sz w:val="24"/>
          <w:szCs w:val="24"/>
        </w:rPr>
        <w:t>2</w:t>
      </w:r>
      <w:r w:rsidR="007A1D05">
        <w:rPr>
          <w:rFonts w:ascii="Calibri" w:hAnsi="Calibri"/>
          <w:sz w:val="24"/>
          <w:szCs w:val="24"/>
        </w:rPr>
        <w:t>5</w:t>
      </w:r>
      <w:r w:rsidR="00202D6B">
        <w:rPr>
          <w:rFonts w:ascii="Calibri" w:hAnsi="Calibri"/>
          <w:sz w:val="24"/>
          <w:szCs w:val="24"/>
        </w:rPr>
        <w:t>.</w:t>
      </w:r>
      <w:r w:rsidR="007A1D05">
        <w:rPr>
          <w:rFonts w:ascii="Calibri" w:hAnsi="Calibri"/>
          <w:sz w:val="24"/>
          <w:szCs w:val="24"/>
        </w:rPr>
        <w:t xml:space="preserve">  Additionally, the demographic and salary increase assumptions were updated to reflect the 2024 SCRS experience study, and both the health care trend rates and election assumption rates were updated to reflect the plan’s anticipated experience.</w:t>
      </w:r>
    </w:p>
    <w:p w14:paraId="5B02749D" w14:textId="77777777" w:rsidR="00CD07E8" w:rsidRDefault="00CD07E8" w:rsidP="00CD07E8">
      <w:pPr>
        <w:spacing w:after="0"/>
        <w:jc w:val="both"/>
        <w:rPr>
          <w:sz w:val="24"/>
          <w:szCs w:val="24"/>
        </w:rPr>
      </w:pPr>
    </w:p>
    <w:p w14:paraId="08408AA6" w14:textId="77777777" w:rsidR="00AB219E" w:rsidRDefault="00AB219E">
      <w:pPr>
        <w:rPr>
          <w:rFonts w:ascii="Calibri" w:hAnsi="Calibri"/>
          <w:sz w:val="24"/>
          <w:szCs w:val="24"/>
        </w:rPr>
      </w:pPr>
      <w:r>
        <w:rPr>
          <w:rFonts w:ascii="Calibri" w:hAnsi="Calibri"/>
          <w:sz w:val="24"/>
          <w:szCs w:val="24"/>
        </w:rPr>
        <w:br w:type="page"/>
      </w:r>
    </w:p>
    <w:p w14:paraId="2F13C418" w14:textId="77777777" w:rsidR="0006430D" w:rsidRPr="00D762C9" w:rsidRDefault="0006430D" w:rsidP="0006430D">
      <w:pPr>
        <w:pStyle w:val="NoSpacing"/>
        <w:rPr>
          <w:rFonts w:ascii="Calibri" w:hAnsi="Calibri"/>
          <w:sz w:val="24"/>
          <w:szCs w:val="24"/>
        </w:rPr>
      </w:pPr>
      <w:r w:rsidRPr="00D762C9">
        <w:rPr>
          <w:rFonts w:ascii="Calibri" w:hAnsi="Calibri"/>
          <w:sz w:val="24"/>
          <w:szCs w:val="24"/>
        </w:rPr>
        <w:lastRenderedPageBreak/>
        <w:t>Additional information as of the latest actuarial valuation for SCLTDITF:</w:t>
      </w:r>
    </w:p>
    <w:p w14:paraId="245692A1" w14:textId="77777777" w:rsidR="0006430D" w:rsidRPr="00D762C9" w:rsidRDefault="0006430D" w:rsidP="0006430D">
      <w:pPr>
        <w:pStyle w:val="NoSpacing"/>
        <w:ind w:left="720"/>
        <w:rPr>
          <w:rFonts w:ascii="Calibri" w:hAnsi="Calibri"/>
          <w:sz w:val="12"/>
          <w:szCs w:val="12"/>
        </w:rPr>
      </w:pPr>
    </w:p>
    <w:p w14:paraId="2843F006" w14:textId="6EC121FF" w:rsidR="0006430D" w:rsidRPr="00D762C9" w:rsidRDefault="0006430D" w:rsidP="0006430D">
      <w:pPr>
        <w:pStyle w:val="NoSpacing"/>
        <w:ind w:left="720"/>
        <w:rPr>
          <w:rFonts w:ascii="Calibri" w:hAnsi="Calibri"/>
          <w:sz w:val="24"/>
          <w:szCs w:val="24"/>
        </w:rPr>
      </w:pPr>
      <w:r w:rsidRPr="00D762C9">
        <w:rPr>
          <w:rFonts w:ascii="Calibri" w:hAnsi="Calibri"/>
          <w:sz w:val="24"/>
          <w:szCs w:val="24"/>
        </w:rPr>
        <w:t>Valuation Date</w:t>
      </w:r>
      <w:proofErr w:type="gramStart"/>
      <w:r w:rsidRPr="00D762C9">
        <w:rPr>
          <w:rFonts w:ascii="Calibri" w:hAnsi="Calibri"/>
          <w:sz w:val="24"/>
          <w:szCs w:val="24"/>
        </w:rPr>
        <w:t>:</w:t>
      </w:r>
      <w:r w:rsidRPr="00D762C9">
        <w:rPr>
          <w:rFonts w:ascii="Calibri" w:hAnsi="Calibri"/>
          <w:sz w:val="24"/>
          <w:szCs w:val="24"/>
        </w:rPr>
        <w:tab/>
      </w:r>
      <w:r w:rsidRPr="00D762C9">
        <w:rPr>
          <w:rFonts w:ascii="Calibri" w:hAnsi="Calibri"/>
          <w:sz w:val="24"/>
          <w:szCs w:val="24"/>
        </w:rPr>
        <w:tab/>
      </w:r>
      <w:r w:rsidR="004D6FEC" w:rsidRPr="00D762C9">
        <w:rPr>
          <w:rFonts w:ascii="Calibri" w:hAnsi="Calibri"/>
          <w:sz w:val="24"/>
          <w:szCs w:val="24"/>
        </w:rPr>
        <w:t>June</w:t>
      </w:r>
      <w:proofErr w:type="gramEnd"/>
      <w:r w:rsidR="004D6FEC" w:rsidRPr="00D762C9">
        <w:rPr>
          <w:rFonts w:ascii="Calibri" w:hAnsi="Calibri"/>
          <w:sz w:val="24"/>
          <w:szCs w:val="24"/>
        </w:rPr>
        <w:t xml:space="preserve"> 30, 20</w:t>
      </w:r>
      <w:r w:rsidR="006E4F94">
        <w:rPr>
          <w:rFonts w:ascii="Calibri" w:hAnsi="Calibri"/>
          <w:sz w:val="24"/>
          <w:szCs w:val="24"/>
        </w:rPr>
        <w:t>2</w:t>
      </w:r>
      <w:r w:rsidR="003B02A9">
        <w:rPr>
          <w:rFonts w:ascii="Calibri" w:hAnsi="Calibri"/>
          <w:sz w:val="24"/>
          <w:szCs w:val="24"/>
        </w:rPr>
        <w:t>4</w:t>
      </w:r>
    </w:p>
    <w:p w14:paraId="515BDF3C" w14:textId="65D0510E" w:rsidR="0006430D" w:rsidRPr="00D762C9" w:rsidRDefault="0006430D" w:rsidP="0006430D">
      <w:pPr>
        <w:pStyle w:val="NoSpacing"/>
        <w:ind w:left="720"/>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4C8FDE75"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6560A4A"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3</w:t>
      </w:r>
      <w:r w:rsidRPr="00D762C9">
        <w:rPr>
          <w:rFonts w:ascii="Calibri" w:hAnsi="Calibri"/>
          <w:sz w:val="24"/>
          <w:szCs w:val="24"/>
        </w:rPr>
        <w:t>.00</w:t>
      </w:r>
      <w:r w:rsidR="004D6FEC" w:rsidRPr="00D762C9">
        <w:rPr>
          <w:rFonts w:ascii="Calibri" w:hAnsi="Calibri"/>
          <w:sz w:val="24"/>
          <w:szCs w:val="24"/>
        </w:rPr>
        <w:t>%</w:t>
      </w:r>
      <w:r w:rsidRPr="00D762C9">
        <w:rPr>
          <w:rFonts w:ascii="Calibri" w:hAnsi="Calibri"/>
          <w:sz w:val="24"/>
          <w:szCs w:val="24"/>
        </w:rPr>
        <w:t>, net of Plan investment expense; including inflation</w:t>
      </w:r>
    </w:p>
    <w:p w14:paraId="6DD5A647" w14:textId="680861A4" w:rsidR="0006430D" w:rsidRPr="00D762C9" w:rsidRDefault="004D6FEC" w:rsidP="0006430D">
      <w:pPr>
        <w:pStyle w:val="NoSpacing"/>
        <w:ind w:left="720"/>
        <w:rPr>
          <w:rFonts w:ascii="Calibri" w:hAnsi="Calibri"/>
          <w:sz w:val="24"/>
          <w:szCs w:val="24"/>
        </w:rPr>
      </w:pPr>
      <w:r w:rsidRPr="00D762C9">
        <w:rPr>
          <w:rFonts w:ascii="Calibri" w:hAnsi="Calibri"/>
          <w:sz w:val="24"/>
          <w:szCs w:val="24"/>
        </w:rPr>
        <w:t>Single Discount Rate</w:t>
      </w:r>
      <w:proofErr w:type="gramStart"/>
      <w:r w:rsidRPr="00D762C9">
        <w:rPr>
          <w:rFonts w:ascii="Calibri" w:hAnsi="Calibri"/>
          <w:sz w:val="24"/>
          <w:szCs w:val="24"/>
        </w:rPr>
        <w:t>:</w:t>
      </w:r>
      <w:r w:rsidRPr="00D762C9">
        <w:rPr>
          <w:rFonts w:ascii="Calibri" w:hAnsi="Calibri"/>
          <w:sz w:val="24"/>
          <w:szCs w:val="24"/>
        </w:rPr>
        <w:tab/>
      </w:r>
      <w:r w:rsidRPr="00D762C9">
        <w:rPr>
          <w:rFonts w:ascii="Calibri" w:hAnsi="Calibri"/>
          <w:sz w:val="24"/>
          <w:szCs w:val="24"/>
        </w:rPr>
        <w:tab/>
      </w:r>
      <w:r w:rsidR="003B02A9">
        <w:rPr>
          <w:rFonts w:ascii="Calibri" w:hAnsi="Calibri"/>
          <w:sz w:val="24"/>
          <w:szCs w:val="24"/>
        </w:rPr>
        <w:t>4.41</w:t>
      </w:r>
      <w:proofErr w:type="gramEnd"/>
      <w:r w:rsidRPr="00D762C9">
        <w:rPr>
          <w:rFonts w:ascii="Calibri" w:hAnsi="Calibri"/>
          <w:sz w:val="24"/>
          <w:szCs w:val="24"/>
        </w:rPr>
        <w:t>% as of June 30, 20</w:t>
      </w:r>
      <w:r w:rsidR="00D762C9">
        <w:rPr>
          <w:rFonts w:ascii="Calibri" w:hAnsi="Calibri"/>
          <w:sz w:val="24"/>
          <w:szCs w:val="24"/>
        </w:rPr>
        <w:t>2</w:t>
      </w:r>
      <w:r w:rsidR="003B02A9">
        <w:rPr>
          <w:rFonts w:ascii="Calibri" w:hAnsi="Calibri"/>
          <w:sz w:val="24"/>
          <w:szCs w:val="24"/>
        </w:rPr>
        <w:t>5</w:t>
      </w:r>
    </w:p>
    <w:p w14:paraId="3858D320" w14:textId="77777777" w:rsidR="00AE484C" w:rsidRPr="00D762C9" w:rsidRDefault="0006430D" w:rsidP="0006430D">
      <w:pPr>
        <w:pStyle w:val="NoSpacing"/>
        <w:ind w:left="3600" w:hanging="2880"/>
        <w:rPr>
          <w:rFonts w:ascii="Calibri" w:hAnsi="Calibri"/>
          <w:sz w:val="24"/>
          <w:szCs w:val="24"/>
        </w:rPr>
      </w:pPr>
      <w:r w:rsidRPr="00D762C9">
        <w:rPr>
          <w:rFonts w:ascii="Calibri" w:hAnsi="Calibri"/>
          <w:sz w:val="24"/>
          <w:szCs w:val="24"/>
        </w:rPr>
        <w:t>Salary, Termination, and</w:t>
      </w:r>
      <w:r w:rsidR="00AE484C" w:rsidRPr="00D762C9">
        <w:rPr>
          <w:rFonts w:ascii="Calibri" w:hAnsi="Calibri"/>
          <w:sz w:val="24"/>
          <w:szCs w:val="24"/>
        </w:rPr>
        <w:t xml:space="preserve"> </w:t>
      </w:r>
      <w:r w:rsidRPr="00D762C9">
        <w:rPr>
          <w:rFonts w:ascii="Calibri" w:hAnsi="Calibri"/>
          <w:sz w:val="24"/>
          <w:szCs w:val="24"/>
        </w:rPr>
        <w:tab/>
        <w:t>Based on the experience study performed for the South</w:t>
      </w:r>
    </w:p>
    <w:p w14:paraId="42A84AAA" w14:textId="0FD0FB40" w:rsidR="0006430D" w:rsidRPr="00D762C9" w:rsidRDefault="00AE484C" w:rsidP="0006430D">
      <w:pPr>
        <w:pStyle w:val="NoSpacing"/>
        <w:ind w:left="3600" w:hanging="2880"/>
        <w:rPr>
          <w:rFonts w:ascii="Calibri" w:hAnsi="Calibri"/>
          <w:sz w:val="24"/>
          <w:szCs w:val="24"/>
        </w:rPr>
      </w:pPr>
      <w:r w:rsidRPr="00D762C9">
        <w:rPr>
          <w:rFonts w:ascii="Calibri" w:hAnsi="Calibri"/>
          <w:sz w:val="24"/>
          <w:szCs w:val="24"/>
        </w:rPr>
        <w:t>Retirement Rates:</w:t>
      </w:r>
      <w:r w:rsidRPr="00D762C9">
        <w:rPr>
          <w:rFonts w:ascii="Calibri" w:hAnsi="Calibri"/>
          <w:sz w:val="24"/>
          <w:szCs w:val="24"/>
        </w:rPr>
        <w:tab/>
      </w:r>
      <w:r w:rsidR="0006430D" w:rsidRPr="00D762C9">
        <w:rPr>
          <w:rFonts w:ascii="Calibri" w:hAnsi="Calibri"/>
          <w:sz w:val="24"/>
          <w:szCs w:val="24"/>
        </w:rPr>
        <w:t>Carolina Retirement</w:t>
      </w:r>
      <w:r w:rsidRPr="00D762C9">
        <w:rPr>
          <w:rFonts w:ascii="Calibri" w:hAnsi="Calibri"/>
          <w:sz w:val="24"/>
          <w:szCs w:val="24"/>
        </w:rPr>
        <w:t xml:space="preserve"> S</w:t>
      </w:r>
      <w:r w:rsidR="0006430D" w:rsidRPr="00D762C9">
        <w:rPr>
          <w:rFonts w:ascii="Calibri" w:hAnsi="Calibri"/>
          <w:sz w:val="24"/>
          <w:szCs w:val="24"/>
        </w:rPr>
        <w:t>ystems for the 5-year period ending June 30, 20</w:t>
      </w:r>
      <w:r w:rsidR="003B02A9">
        <w:rPr>
          <w:rFonts w:ascii="Calibri" w:hAnsi="Calibri"/>
          <w:sz w:val="24"/>
          <w:szCs w:val="24"/>
        </w:rPr>
        <w:t>23</w:t>
      </w:r>
    </w:p>
    <w:p w14:paraId="4D454601" w14:textId="2873D66E"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Incidence:</w:t>
      </w:r>
      <w:r w:rsidRPr="00D762C9">
        <w:rPr>
          <w:rFonts w:ascii="Calibri" w:hAnsi="Calibri"/>
          <w:sz w:val="24"/>
          <w:szCs w:val="24"/>
        </w:rPr>
        <w:tab/>
        <w:t xml:space="preserve">The </w:t>
      </w:r>
      <w:r w:rsidR="00D762C9">
        <w:rPr>
          <w:rFonts w:ascii="Calibri" w:hAnsi="Calibri"/>
          <w:sz w:val="24"/>
          <w:szCs w:val="24"/>
        </w:rPr>
        <w:t xml:space="preserve">disability </w:t>
      </w:r>
      <w:r w:rsidR="006E4F94">
        <w:rPr>
          <w:rFonts w:ascii="Calibri" w:hAnsi="Calibri"/>
          <w:sz w:val="24"/>
          <w:szCs w:val="24"/>
        </w:rPr>
        <w:t xml:space="preserve">incidence </w:t>
      </w:r>
      <w:r w:rsidRPr="00D762C9">
        <w:rPr>
          <w:rFonts w:ascii="Calibri" w:hAnsi="Calibri"/>
          <w:sz w:val="24"/>
          <w:szCs w:val="24"/>
        </w:rPr>
        <w:t xml:space="preserve">rates used in the valuation are </w:t>
      </w:r>
      <w:r w:rsidR="003B02A9">
        <w:rPr>
          <w:rFonts w:ascii="Calibri" w:hAnsi="Calibri"/>
          <w:sz w:val="24"/>
          <w:szCs w:val="24"/>
        </w:rPr>
        <w:t>24</w:t>
      </w:r>
      <w:r w:rsidR="006E4F94">
        <w:rPr>
          <w:rFonts w:ascii="Calibri" w:hAnsi="Calibri"/>
          <w:sz w:val="24"/>
          <w:szCs w:val="24"/>
        </w:rPr>
        <w:t xml:space="preserve">5% of the rates </w:t>
      </w:r>
      <w:r w:rsidRPr="00D762C9">
        <w:rPr>
          <w:rFonts w:ascii="Calibri" w:hAnsi="Calibri"/>
          <w:sz w:val="24"/>
          <w:szCs w:val="24"/>
        </w:rPr>
        <w:t>developed for the South Carolina Retirement Systems pension plans</w:t>
      </w:r>
    </w:p>
    <w:p w14:paraId="759B83EE" w14:textId="63D609F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Recovery:</w:t>
      </w:r>
      <w:r w:rsidRPr="00D762C9">
        <w:rPr>
          <w:rFonts w:ascii="Calibri" w:hAnsi="Calibri"/>
          <w:sz w:val="24"/>
          <w:szCs w:val="24"/>
        </w:rPr>
        <w:tab/>
        <w:t>For participants in payment, 1987 CGDT Group Disability; for active employees, 60% were assumed to recover after the first year and 9</w:t>
      </w:r>
      <w:r w:rsidR="0052671B">
        <w:rPr>
          <w:rFonts w:ascii="Calibri" w:hAnsi="Calibri"/>
          <w:sz w:val="24"/>
          <w:szCs w:val="24"/>
        </w:rPr>
        <w:t>3</w:t>
      </w:r>
      <w:r w:rsidRPr="00D762C9">
        <w:rPr>
          <w:rFonts w:ascii="Calibri" w:hAnsi="Calibri"/>
          <w:sz w:val="24"/>
          <w:szCs w:val="24"/>
        </w:rPr>
        <w:t>% were assumed to recover after the first two years</w:t>
      </w:r>
    </w:p>
    <w:p w14:paraId="6A212D0E" w14:textId="17ADF024" w:rsidR="0078434C" w:rsidRPr="00D762C9" w:rsidRDefault="0006430D" w:rsidP="0078434C">
      <w:pPr>
        <w:pStyle w:val="NoSpacing"/>
        <w:ind w:left="3600" w:hanging="2880"/>
        <w:rPr>
          <w:rFonts w:ascii="Calibri" w:hAnsi="Calibri"/>
          <w:sz w:val="24"/>
          <w:szCs w:val="24"/>
        </w:rPr>
      </w:pPr>
      <w:r w:rsidRPr="00D762C9">
        <w:rPr>
          <w:rFonts w:ascii="Calibri" w:hAnsi="Calibri"/>
          <w:sz w:val="24"/>
          <w:szCs w:val="24"/>
        </w:rPr>
        <w:t>Offsets:</w:t>
      </w:r>
      <w:r w:rsidRPr="00D762C9">
        <w:rPr>
          <w:rFonts w:ascii="Calibri" w:hAnsi="Calibri"/>
          <w:sz w:val="24"/>
          <w:szCs w:val="24"/>
        </w:rPr>
        <w:tab/>
        <w:t>4</w:t>
      </w:r>
      <w:r w:rsidR="0052671B">
        <w:rPr>
          <w:rFonts w:ascii="Calibri" w:hAnsi="Calibri"/>
          <w:sz w:val="24"/>
          <w:szCs w:val="24"/>
        </w:rPr>
        <w:t>5</w:t>
      </w:r>
      <w:r w:rsidRPr="00D762C9">
        <w:rPr>
          <w:rFonts w:ascii="Calibri" w:hAnsi="Calibri"/>
          <w:sz w:val="24"/>
          <w:szCs w:val="24"/>
        </w:rPr>
        <w:t>% are assumed to be eligible for Social Security benefits; assumed percentage who will be eligible for a pension plan offset varies based on employee group</w:t>
      </w:r>
    </w:p>
    <w:p w14:paraId="15CA6BFF" w14:textId="77777777" w:rsidR="004D6FEC" w:rsidRPr="00D762C9" w:rsidRDefault="004D6FEC" w:rsidP="0006430D">
      <w:pPr>
        <w:pStyle w:val="NoSpacing"/>
        <w:ind w:left="720"/>
        <w:rPr>
          <w:rFonts w:ascii="Calibri" w:hAnsi="Calibri"/>
          <w:sz w:val="24"/>
          <w:szCs w:val="24"/>
        </w:rPr>
      </w:pPr>
      <w:r w:rsidRPr="00D762C9">
        <w:rPr>
          <w:rFonts w:ascii="Calibri" w:hAnsi="Calibri"/>
          <w:sz w:val="24"/>
          <w:szCs w:val="24"/>
        </w:rPr>
        <w:t>Expenses: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Third party administrative expenses were included in the </w:t>
      </w:r>
    </w:p>
    <w:p w14:paraId="119DDD6C" w14:textId="77777777" w:rsidR="004D6FEC" w:rsidRPr="00D762C9" w:rsidRDefault="004D6FEC" w:rsidP="004D6FEC">
      <w:pPr>
        <w:pStyle w:val="NoSpacing"/>
        <w:ind w:left="2880" w:firstLine="720"/>
        <w:rPr>
          <w:rFonts w:ascii="Calibri" w:hAnsi="Calibri"/>
          <w:sz w:val="24"/>
          <w:szCs w:val="24"/>
        </w:rPr>
      </w:pPr>
      <w:r w:rsidRPr="00D762C9">
        <w:rPr>
          <w:rFonts w:ascii="Calibri" w:hAnsi="Calibri"/>
          <w:sz w:val="24"/>
          <w:szCs w:val="24"/>
        </w:rPr>
        <w:t>benefit projections</w:t>
      </w:r>
    </w:p>
    <w:p w14:paraId="70442C28" w14:textId="698BC124" w:rsidR="004D6FEC" w:rsidRPr="00D762C9" w:rsidRDefault="0006430D" w:rsidP="004D6FEC">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The discount rate changed from </w:t>
      </w:r>
      <w:r w:rsidR="00A145A1">
        <w:rPr>
          <w:rFonts w:ascii="Calibri" w:hAnsi="Calibri"/>
          <w:sz w:val="24"/>
          <w:szCs w:val="24"/>
        </w:rPr>
        <w:t>3</w:t>
      </w:r>
      <w:r w:rsidR="0052671B">
        <w:rPr>
          <w:rFonts w:ascii="Calibri" w:hAnsi="Calibri"/>
          <w:sz w:val="24"/>
          <w:szCs w:val="24"/>
        </w:rPr>
        <w:t>.</w:t>
      </w:r>
      <w:r w:rsidR="003B02A9">
        <w:rPr>
          <w:rFonts w:ascii="Calibri" w:hAnsi="Calibri"/>
          <w:sz w:val="24"/>
          <w:szCs w:val="24"/>
        </w:rPr>
        <w:t>68</w:t>
      </w:r>
      <w:r w:rsidRPr="00D762C9">
        <w:rPr>
          <w:rFonts w:ascii="Calibri" w:hAnsi="Calibri"/>
          <w:sz w:val="24"/>
          <w:szCs w:val="24"/>
        </w:rPr>
        <w:t>% as of June 30, 20</w:t>
      </w:r>
      <w:r w:rsidR="0052671B">
        <w:rPr>
          <w:rFonts w:ascii="Calibri" w:hAnsi="Calibri"/>
          <w:sz w:val="24"/>
          <w:szCs w:val="24"/>
        </w:rPr>
        <w:t>2</w:t>
      </w:r>
      <w:r w:rsidR="003B02A9">
        <w:rPr>
          <w:rFonts w:ascii="Calibri" w:hAnsi="Calibri"/>
          <w:sz w:val="24"/>
          <w:szCs w:val="24"/>
        </w:rPr>
        <w:t>4</w:t>
      </w:r>
    </w:p>
    <w:p w14:paraId="025EF604" w14:textId="2BEEB569" w:rsidR="0006430D" w:rsidRPr="00D762C9" w:rsidRDefault="0006430D" w:rsidP="0052671B">
      <w:pPr>
        <w:pStyle w:val="NoSpacing"/>
        <w:ind w:left="3600"/>
        <w:rPr>
          <w:rFonts w:ascii="Calibri" w:hAnsi="Calibri"/>
          <w:sz w:val="24"/>
          <w:szCs w:val="24"/>
        </w:rPr>
      </w:pPr>
      <w:r w:rsidRPr="00D762C9">
        <w:rPr>
          <w:rFonts w:ascii="Calibri" w:hAnsi="Calibri"/>
          <w:sz w:val="24"/>
          <w:szCs w:val="24"/>
        </w:rPr>
        <w:t xml:space="preserve">to </w:t>
      </w:r>
      <w:r w:rsidR="003B02A9">
        <w:rPr>
          <w:rFonts w:ascii="Calibri" w:hAnsi="Calibri"/>
          <w:sz w:val="24"/>
          <w:szCs w:val="24"/>
        </w:rPr>
        <w:t>4.41</w:t>
      </w:r>
      <w:r w:rsidRPr="00D762C9">
        <w:rPr>
          <w:rFonts w:ascii="Calibri" w:hAnsi="Calibri"/>
          <w:sz w:val="24"/>
          <w:szCs w:val="24"/>
        </w:rPr>
        <w:t xml:space="preserve">% as of </w:t>
      </w:r>
      <w:r w:rsidR="004D6FEC" w:rsidRPr="00D762C9">
        <w:rPr>
          <w:rFonts w:ascii="Calibri" w:hAnsi="Calibri"/>
          <w:sz w:val="24"/>
          <w:szCs w:val="24"/>
        </w:rPr>
        <w:t>June 30, 20</w:t>
      </w:r>
      <w:r w:rsidR="00D762C9">
        <w:rPr>
          <w:rFonts w:ascii="Calibri" w:hAnsi="Calibri"/>
          <w:sz w:val="24"/>
          <w:szCs w:val="24"/>
        </w:rPr>
        <w:t>2</w:t>
      </w:r>
      <w:r w:rsidR="003B02A9">
        <w:rPr>
          <w:rFonts w:ascii="Calibri" w:hAnsi="Calibri"/>
          <w:sz w:val="24"/>
          <w:szCs w:val="24"/>
        </w:rPr>
        <w:t>5</w:t>
      </w:r>
      <w:r w:rsidR="0052671B">
        <w:rPr>
          <w:rFonts w:ascii="Calibri" w:hAnsi="Calibri"/>
          <w:sz w:val="24"/>
          <w:szCs w:val="24"/>
        </w:rPr>
        <w:t xml:space="preserve">. </w:t>
      </w:r>
      <w:r w:rsidR="003B02A9">
        <w:rPr>
          <w:rFonts w:ascii="Calibri" w:hAnsi="Calibri"/>
          <w:sz w:val="24"/>
          <w:szCs w:val="24"/>
        </w:rPr>
        <w:t xml:space="preserve">Additionally, the demographic and salary increase assumptions were updated to reflect the 2024 experience study for the SCRS </w:t>
      </w:r>
      <w:r w:rsidR="0029710A">
        <w:rPr>
          <w:rFonts w:ascii="Calibri" w:hAnsi="Calibri"/>
          <w:sz w:val="24"/>
          <w:szCs w:val="24"/>
        </w:rPr>
        <w:t>and the disability incidence assumption was updated to reflect anticipated experience.</w:t>
      </w:r>
    </w:p>
    <w:p w14:paraId="1010B81F" w14:textId="77777777" w:rsidR="0006430D" w:rsidRPr="00530B8D" w:rsidRDefault="0006430D" w:rsidP="0006430D">
      <w:pPr>
        <w:pStyle w:val="NoSpacing"/>
        <w:rPr>
          <w:rFonts w:ascii="Calibri" w:hAnsi="Calibri"/>
          <w:sz w:val="24"/>
          <w:szCs w:val="24"/>
        </w:rPr>
      </w:pPr>
    </w:p>
    <w:p w14:paraId="6C74275F" w14:textId="77777777" w:rsidR="0006430D" w:rsidRPr="00D762C9" w:rsidRDefault="0006430D" w:rsidP="00CE37E3">
      <w:pPr>
        <w:pStyle w:val="NoSpacing"/>
        <w:jc w:val="both"/>
        <w:rPr>
          <w:rFonts w:ascii="Calibri" w:hAnsi="Calibri"/>
          <w:b/>
          <w:sz w:val="24"/>
          <w:szCs w:val="24"/>
          <w:u w:val="single"/>
        </w:rPr>
      </w:pPr>
      <w:r w:rsidRPr="00D762C9">
        <w:rPr>
          <w:rFonts w:ascii="Calibri" w:hAnsi="Calibri"/>
          <w:b/>
          <w:sz w:val="24"/>
          <w:szCs w:val="24"/>
          <w:u w:val="single"/>
        </w:rPr>
        <w:t>Roll Forward Disclosure</w:t>
      </w:r>
      <w:r w:rsidR="00E7369C" w:rsidRPr="00D762C9">
        <w:rPr>
          <w:rFonts w:ascii="Calibri" w:hAnsi="Calibri"/>
          <w:b/>
          <w:sz w:val="24"/>
          <w:szCs w:val="24"/>
          <w:u w:val="single"/>
        </w:rPr>
        <w:t>s</w:t>
      </w:r>
    </w:p>
    <w:p w14:paraId="3F175B80" w14:textId="6B389B3D" w:rsidR="0006430D" w:rsidRPr="00D762C9" w:rsidRDefault="00E7369C" w:rsidP="00CE37E3">
      <w:pPr>
        <w:pStyle w:val="NoSpacing"/>
        <w:jc w:val="both"/>
        <w:rPr>
          <w:rFonts w:ascii="Calibri" w:hAnsi="Calibri"/>
          <w:sz w:val="24"/>
          <w:szCs w:val="24"/>
        </w:rPr>
      </w:pPr>
      <w:r w:rsidRPr="00D762C9">
        <w:rPr>
          <w:rFonts w:ascii="Calibri" w:hAnsi="Calibri"/>
          <w:sz w:val="24"/>
          <w:szCs w:val="24"/>
        </w:rPr>
        <w:t>The actuarial valuation</w:t>
      </w:r>
      <w:r w:rsidR="00464BAE" w:rsidRPr="00D762C9">
        <w:rPr>
          <w:rFonts w:ascii="Calibri" w:hAnsi="Calibri"/>
          <w:sz w:val="24"/>
          <w:szCs w:val="24"/>
        </w:rPr>
        <w:t>s</w:t>
      </w:r>
      <w:r w:rsidRPr="00D762C9">
        <w:rPr>
          <w:rFonts w:ascii="Calibri" w:hAnsi="Calibri"/>
          <w:sz w:val="24"/>
          <w:szCs w:val="24"/>
        </w:rPr>
        <w:t xml:space="preserve"> were</w:t>
      </w:r>
      <w:r w:rsidR="004D6FEC" w:rsidRPr="00D762C9">
        <w:rPr>
          <w:rFonts w:ascii="Calibri" w:hAnsi="Calibri"/>
          <w:sz w:val="24"/>
          <w:szCs w:val="24"/>
        </w:rPr>
        <w:t xml:space="preserve"> performed as of June 30, 20</w:t>
      </w:r>
      <w:r w:rsidR="0052671B">
        <w:rPr>
          <w:rFonts w:ascii="Calibri" w:hAnsi="Calibri"/>
          <w:sz w:val="24"/>
          <w:szCs w:val="24"/>
        </w:rPr>
        <w:t>2</w:t>
      </w:r>
      <w:r w:rsidR="0029710A">
        <w:rPr>
          <w:rFonts w:ascii="Calibri" w:hAnsi="Calibri"/>
          <w:sz w:val="24"/>
          <w:szCs w:val="24"/>
        </w:rPr>
        <w:t>4</w:t>
      </w:r>
      <w:r w:rsidR="0006430D" w:rsidRPr="00D762C9">
        <w:rPr>
          <w:rFonts w:ascii="Calibri" w:hAnsi="Calibri"/>
          <w:sz w:val="24"/>
          <w:szCs w:val="24"/>
        </w:rPr>
        <w:t>.  Update procedures were used to roll forward the total</w:t>
      </w:r>
      <w:r w:rsidR="004D6FEC" w:rsidRPr="00D762C9">
        <w:rPr>
          <w:rFonts w:ascii="Calibri" w:hAnsi="Calibri"/>
          <w:sz w:val="24"/>
          <w:szCs w:val="24"/>
        </w:rPr>
        <w:t xml:space="preserve"> OPEB liabilit</w:t>
      </w:r>
      <w:r w:rsidR="00464BAE" w:rsidRPr="00D762C9">
        <w:rPr>
          <w:rFonts w:ascii="Calibri" w:hAnsi="Calibri"/>
          <w:sz w:val="24"/>
          <w:szCs w:val="24"/>
        </w:rPr>
        <w:t>ies</w:t>
      </w:r>
      <w:r w:rsidR="004D6FEC" w:rsidRPr="00D762C9">
        <w:rPr>
          <w:rFonts w:ascii="Calibri" w:hAnsi="Calibri"/>
          <w:sz w:val="24"/>
          <w:szCs w:val="24"/>
        </w:rPr>
        <w:t xml:space="preserve"> to June 30, 20</w:t>
      </w:r>
      <w:r w:rsidR="00D762C9">
        <w:rPr>
          <w:rFonts w:ascii="Calibri" w:hAnsi="Calibri"/>
          <w:sz w:val="24"/>
          <w:szCs w:val="24"/>
        </w:rPr>
        <w:t>2</w:t>
      </w:r>
      <w:r w:rsidR="0029710A">
        <w:rPr>
          <w:rFonts w:ascii="Calibri" w:hAnsi="Calibri"/>
          <w:sz w:val="24"/>
          <w:szCs w:val="24"/>
        </w:rPr>
        <w:t>5</w:t>
      </w:r>
      <w:r w:rsidR="0006430D" w:rsidRPr="00D762C9">
        <w:rPr>
          <w:rFonts w:ascii="Calibri" w:hAnsi="Calibri"/>
          <w:sz w:val="24"/>
          <w:szCs w:val="24"/>
        </w:rPr>
        <w:t>.</w:t>
      </w:r>
    </w:p>
    <w:p w14:paraId="7E1E1E3B" w14:textId="77777777" w:rsidR="00CE37E3" w:rsidRPr="00530B8D" w:rsidRDefault="00CE37E3" w:rsidP="00CE37E3">
      <w:pPr>
        <w:pStyle w:val="NoSpacing"/>
        <w:jc w:val="both"/>
        <w:rPr>
          <w:rFonts w:ascii="Calibri" w:hAnsi="Calibri"/>
          <w:sz w:val="24"/>
          <w:szCs w:val="24"/>
          <w:highlight w:val="yellow"/>
        </w:rPr>
      </w:pPr>
    </w:p>
    <w:p w14:paraId="647AAA61" w14:textId="77777777" w:rsidR="0006430D" w:rsidRPr="00D762C9" w:rsidRDefault="00CE37E3" w:rsidP="00CE37E3">
      <w:pPr>
        <w:pStyle w:val="NoSpacing"/>
        <w:jc w:val="both"/>
        <w:rPr>
          <w:b/>
          <w:sz w:val="24"/>
          <w:szCs w:val="24"/>
        </w:rPr>
      </w:pPr>
      <w:r w:rsidRPr="00D762C9">
        <w:rPr>
          <w:b/>
          <w:sz w:val="24"/>
          <w:szCs w:val="24"/>
        </w:rPr>
        <w:t>Note 3</w:t>
      </w:r>
      <w:proofErr w:type="gramStart"/>
      <w:r w:rsidRPr="00D762C9">
        <w:rPr>
          <w:b/>
          <w:sz w:val="24"/>
          <w:szCs w:val="24"/>
        </w:rPr>
        <w:t>:  Net</w:t>
      </w:r>
      <w:proofErr w:type="gramEnd"/>
      <w:r w:rsidRPr="00D762C9">
        <w:rPr>
          <w:b/>
          <w:sz w:val="24"/>
          <w:szCs w:val="24"/>
        </w:rPr>
        <w:t xml:space="preserve"> OPEB Liability</w:t>
      </w:r>
    </w:p>
    <w:p w14:paraId="2F039775" w14:textId="4657DA3E" w:rsidR="00AB219E" w:rsidRPr="008E2DBA" w:rsidRDefault="00CE37E3" w:rsidP="0052671B">
      <w:pPr>
        <w:pStyle w:val="NoSpacing"/>
        <w:jc w:val="both"/>
        <w:rPr>
          <w:rFonts w:ascii="Calibri" w:hAnsi="Calibri"/>
          <w:sz w:val="24"/>
          <w:szCs w:val="24"/>
          <w:highlight w:val="yellow"/>
        </w:rPr>
      </w:pPr>
      <w:r w:rsidRPr="00D762C9">
        <w:rPr>
          <w:sz w:val="24"/>
          <w:szCs w:val="24"/>
        </w:rPr>
        <w:t xml:space="preserve">The Net OPEB Liability (NOL) is calculated separately for each OPEB Trust Fund and represents that </w:t>
      </w:r>
      <w:proofErr w:type="gramStart"/>
      <w:r w:rsidRPr="00D762C9">
        <w:rPr>
          <w:sz w:val="24"/>
          <w:szCs w:val="24"/>
        </w:rPr>
        <w:t>particular Trust’s</w:t>
      </w:r>
      <w:proofErr w:type="gramEnd"/>
      <w:r w:rsidRPr="00D762C9">
        <w:rPr>
          <w:sz w:val="24"/>
          <w:szCs w:val="24"/>
        </w:rPr>
        <w:t xml:space="preserve"> Total OPEB Liability (TOL) determined in accordance with GASB No. 74 less that Trust’s fiduciary net position.  </w:t>
      </w:r>
      <w:r w:rsidR="00EE3A1E" w:rsidRPr="00D762C9">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r w:rsidR="00AB219E" w:rsidRPr="008E2DBA">
        <w:rPr>
          <w:rFonts w:ascii="Calibri" w:hAnsi="Calibri"/>
          <w:sz w:val="24"/>
          <w:szCs w:val="24"/>
          <w:highlight w:val="yellow"/>
        </w:rPr>
        <w:br w:type="page"/>
      </w:r>
    </w:p>
    <w:p w14:paraId="37D62059" w14:textId="5716FE9A" w:rsidR="00CE37E3" w:rsidRPr="00F50AD4" w:rsidRDefault="00CE37E3" w:rsidP="00CE37E3">
      <w:pPr>
        <w:pStyle w:val="NoSpacing"/>
        <w:jc w:val="both"/>
        <w:rPr>
          <w:rFonts w:ascii="Calibri" w:hAnsi="Calibri"/>
          <w:sz w:val="24"/>
          <w:szCs w:val="24"/>
        </w:rPr>
      </w:pPr>
      <w:r w:rsidRPr="00F50AD4">
        <w:rPr>
          <w:rFonts w:ascii="Calibri" w:hAnsi="Calibri"/>
          <w:sz w:val="24"/>
          <w:szCs w:val="24"/>
        </w:rPr>
        <w:lastRenderedPageBreak/>
        <w:t>The following table represents the components of the net OP</w:t>
      </w:r>
      <w:r w:rsidR="009A3EB1" w:rsidRPr="00F50AD4">
        <w:rPr>
          <w:rFonts w:ascii="Calibri" w:hAnsi="Calibri"/>
          <w:sz w:val="24"/>
          <w:szCs w:val="24"/>
        </w:rPr>
        <w:t xml:space="preserve">EB liability as of June 30, </w:t>
      </w:r>
      <w:r w:rsidR="0029710A">
        <w:rPr>
          <w:rFonts w:ascii="Calibri" w:hAnsi="Calibri"/>
          <w:sz w:val="24"/>
          <w:szCs w:val="24"/>
        </w:rPr>
        <w:t xml:space="preserve">2025, </w:t>
      </w:r>
      <w:r w:rsidR="00D80EED">
        <w:rPr>
          <w:rFonts w:ascii="Calibri" w:hAnsi="Calibri"/>
          <w:sz w:val="24"/>
          <w:szCs w:val="24"/>
        </w:rPr>
        <w:t xml:space="preserve">2024, </w:t>
      </w:r>
      <w:r w:rsidR="00722F9D">
        <w:rPr>
          <w:rFonts w:ascii="Calibri" w:hAnsi="Calibri"/>
          <w:sz w:val="24"/>
          <w:szCs w:val="24"/>
        </w:rPr>
        <w:t xml:space="preserve">2023, </w:t>
      </w:r>
      <w:r w:rsidR="0052671B">
        <w:rPr>
          <w:rFonts w:ascii="Calibri" w:hAnsi="Calibri"/>
          <w:sz w:val="24"/>
          <w:szCs w:val="24"/>
        </w:rPr>
        <w:t>202</w:t>
      </w:r>
      <w:r w:rsidR="00530B8D">
        <w:rPr>
          <w:rFonts w:ascii="Calibri" w:hAnsi="Calibri"/>
          <w:sz w:val="24"/>
          <w:szCs w:val="24"/>
        </w:rPr>
        <w:t>2</w:t>
      </w:r>
      <w:r w:rsidR="0052671B">
        <w:rPr>
          <w:rFonts w:ascii="Calibri" w:hAnsi="Calibri"/>
          <w:sz w:val="24"/>
          <w:szCs w:val="24"/>
        </w:rPr>
        <w:t xml:space="preserve">, </w:t>
      </w:r>
      <w:r w:rsidR="00F50AD4">
        <w:rPr>
          <w:rFonts w:ascii="Calibri" w:hAnsi="Calibri"/>
          <w:sz w:val="24"/>
          <w:szCs w:val="24"/>
        </w:rPr>
        <w:t>202</w:t>
      </w:r>
      <w:r w:rsidR="00530B8D">
        <w:rPr>
          <w:rFonts w:ascii="Calibri" w:hAnsi="Calibri"/>
          <w:sz w:val="24"/>
          <w:szCs w:val="24"/>
        </w:rPr>
        <w:t>1</w:t>
      </w:r>
      <w:r w:rsidR="00F50AD4">
        <w:rPr>
          <w:rFonts w:ascii="Calibri" w:hAnsi="Calibri"/>
          <w:sz w:val="24"/>
          <w:szCs w:val="24"/>
        </w:rPr>
        <w:t xml:space="preserve">, </w:t>
      </w:r>
      <w:r w:rsidR="00530B8D">
        <w:rPr>
          <w:rFonts w:ascii="Calibri" w:hAnsi="Calibri"/>
          <w:sz w:val="24"/>
          <w:szCs w:val="24"/>
        </w:rPr>
        <w:t>2</w:t>
      </w:r>
      <w:r w:rsidR="009A3EB1" w:rsidRPr="00F50AD4">
        <w:rPr>
          <w:rFonts w:ascii="Calibri" w:hAnsi="Calibri"/>
          <w:sz w:val="24"/>
          <w:szCs w:val="24"/>
        </w:rPr>
        <w:t>0</w:t>
      </w:r>
      <w:r w:rsidR="00530B8D">
        <w:rPr>
          <w:rFonts w:ascii="Calibri" w:hAnsi="Calibri"/>
          <w:sz w:val="24"/>
          <w:szCs w:val="24"/>
        </w:rPr>
        <w:t>20</w:t>
      </w:r>
      <w:r w:rsidR="00464BAE" w:rsidRPr="00F50AD4">
        <w:rPr>
          <w:rFonts w:ascii="Calibri" w:hAnsi="Calibri"/>
          <w:sz w:val="24"/>
          <w:szCs w:val="24"/>
        </w:rPr>
        <w:t>, 201</w:t>
      </w:r>
      <w:r w:rsidR="00530B8D">
        <w:rPr>
          <w:rFonts w:ascii="Calibri" w:hAnsi="Calibri"/>
          <w:sz w:val="24"/>
          <w:szCs w:val="24"/>
        </w:rPr>
        <w:t>9</w:t>
      </w:r>
      <w:r w:rsidR="00464BAE" w:rsidRPr="00F50AD4">
        <w:rPr>
          <w:rFonts w:ascii="Calibri" w:hAnsi="Calibri"/>
          <w:sz w:val="24"/>
          <w:szCs w:val="24"/>
        </w:rPr>
        <w:t xml:space="preserve">, </w:t>
      </w:r>
      <w:r w:rsidR="00530B8D">
        <w:rPr>
          <w:rFonts w:ascii="Calibri" w:hAnsi="Calibri"/>
          <w:sz w:val="24"/>
          <w:szCs w:val="24"/>
        </w:rPr>
        <w:t xml:space="preserve">2018, </w:t>
      </w:r>
      <w:r w:rsidR="00464BAE" w:rsidRPr="00F50AD4">
        <w:rPr>
          <w:rFonts w:ascii="Calibri" w:hAnsi="Calibri"/>
          <w:sz w:val="24"/>
          <w:szCs w:val="24"/>
        </w:rPr>
        <w:t>and 2017</w:t>
      </w:r>
      <w:r w:rsidRPr="00F50AD4">
        <w:rPr>
          <w:rFonts w:ascii="Calibri" w:hAnsi="Calibri"/>
          <w:sz w:val="24"/>
          <w:szCs w:val="24"/>
        </w:rPr>
        <w:t>:</w:t>
      </w:r>
    </w:p>
    <w:p w14:paraId="2CA3BCB1" w14:textId="77777777" w:rsidR="00CE37E3" w:rsidRPr="00F50AD4" w:rsidRDefault="00CE37E3" w:rsidP="00CE37E3">
      <w:pPr>
        <w:pStyle w:val="NoSpacing"/>
        <w:rPr>
          <w:rFonts w:ascii="Calibri" w:hAnsi="Calibri"/>
          <w:sz w:val="16"/>
          <w:szCs w:val="16"/>
        </w:rPr>
      </w:pPr>
    </w:p>
    <w:bookmarkStart w:id="0" w:name="_MON_1568189393"/>
    <w:bookmarkEnd w:id="0"/>
    <w:p w14:paraId="102D1CEE" w14:textId="08409485" w:rsidR="0052671B" w:rsidRDefault="00A65AA6" w:rsidP="00F50AD4">
      <w:pPr>
        <w:pStyle w:val="NoSpacing"/>
        <w:jc w:val="both"/>
        <w:rPr>
          <w:rFonts w:ascii="Calibri" w:hAnsi="Calibri"/>
          <w:sz w:val="24"/>
          <w:szCs w:val="24"/>
        </w:rPr>
      </w:pPr>
      <w:r w:rsidRPr="00F50AD4">
        <w:rPr>
          <w:rFonts w:ascii="Calibri" w:hAnsi="Calibri"/>
          <w:sz w:val="24"/>
          <w:szCs w:val="24"/>
        </w:rPr>
        <w:object w:dxaOrig="10413" w:dyaOrig="8721" w14:anchorId="4C3E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377.25pt" o:ole="">
            <v:imagedata r:id="rId9" o:title=""/>
          </v:shape>
          <o:OLEObject Type="Embed" ProgID="Excel.Sheet.12" ShapeID="_x0000_i1025" DrawAspect="Content" ObjectID="_1841058250" r:id="rId10"/>
        </w:object>
      </w:r>
    </w:p>
    <w:p w14:paraId="01804ABC" w14:textId="77777777" w:rsidR="00327C49" w:rsidRDefault="00327C49" w:rsidP="00F50AD4">
      <w:pPr>
        <w:pStyle w:val="NoSpacing"/>
        <w:jc w:val="both"/>
        <w:rPr>
          <w:rFonts w:ascii="Calibri" w:hAnsi="Calibri"/>
          <w:sz w:val="24"/>
          <w:szCs w:val="24"/>
        </w:rPr>
      </w:pPr>
    </w:p>
    <w:p w14:paraId="208A9B48" w14:textId="31BFC9DE" w:rsidR="00CE37E3" w:rsidRPr="00F50AD4" w:rsidRDefault="00CE37E3" w:rsidP="00F50AD4">
      <w:pPr>
        <w:pStyle w:val="NoSpacing"/>
        <w:jc w:val="both"/>
        <w:rPr>
          <w:rFonts w:ascii="Calibri" w:hAnsi="Calibri"/>
          <w:sz w:val="24"/>
          <w:szCs w:val="24"/>
        </w:rPr>
      </w:pPr>
      <w:r w:rsidRPr="00F50AD4">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14:paraId="0073EFDA" w14:textId="77777777" w:rsidR="00AB219E" w:rsidRPr="008E2DBA" w:rsidRDefault="00AB219E" w:rsidP="00CE37E3">
      <w:pPr>
        <w:pStyle w:val="NoSpacing"/>
        <w:jc w:val="both"/>
        <w:rPr>
          <w:rFonts w:ascii="Calibri" w:hAnsi="Calibri"/>
          <w:sz w:val="12"/>
          <w:szCs w:val="12"/>
          <w:highlight w:val="yellow"/>
        </w:rPr>
      </w:pPr>
    </w:p>
    <w:p w14:paraId="7AC537BD" w14:textId="77777777" w:rsidR="00751BC9" w:rsidRPr="00F50AD4" w:rsidRDefault="00751BC9" w:rsidP="00751BC9">
      <w:pPr>
        <w:pStyle w:val="NoSpacing"/>
        <w:rPr>
          <w:rFonts w:ascii="Calibri" w:hAnsi="Calibri"/>
          <w:b/>
          <w:sz w:val="24"/>
          <w:szCs w:val="24"/>
        </w:rPr>
      </w:pPr>
      <w:r w:rsidRPr="00F50AD4">
        <w:rPr>
          <w:rFonts w:ascii="Calibri" w:hAnsi="Calibri"/>
          <w:b/>
          <w:sz w:val="24"/>
          <w:szCs w:val="24"/>
          <w:u w:val="single"/>
        </w:rPr>
        <w:t>Single Discount Rate</w:t>
      </w:r>
    </w:p>
    <w:p w14:paraId="7AF83AAE" w14:textId="313550AA" w:rsidR="00751BC9" w:rsidRPr="00F50AD4" w:rsidRDefault="009A3EB1" w:rsidP="006D484F">
      <w:pPr>
        <w:pStyle w:val="NoSpacing"/>
        <w:jc w:val="both"/>
        <w:rPr>
          <w:rFonts w:ascii="Calibri" w:hAnsi="Calibri"/>
          <w:sz w:val="24"/>
          <w:szCs w:val="24"/>
        </w:rPr>
      </w:pPr>
      <w:r w:rsidRPr="00F50AD4">
        <w:rPr>
          <w:rFonts w:ascii="Calibri" w:hAnsi="Calibri"/>
          <w:sz w:val="24"/>
          <w:szCs w:val="24"/>
        </w:rPr>
        <w:t xml:space="preserve">The Single Discount Rate of </w:t>
      </w:r>
      <w:r w:rsidR="00A65AA6">
        <w:rPr>
          <w:rFonts w:ascii="Calibri" w:hAnsi="Calibri"/>
          <w:sz w:val="24"/>
          <w:szCs w:val="24"/>
        </w:rPr>
        <w:t>5</w:t>
      </w:r>
      <w:r w:rsidR="00B907F5">
        <w:rPr>
          <w:rFonts w:ascii="Calibri" w:hAnsi="Calibri"/>
          <w:sz w:val="24"/>
          <w:szCs w:val="24"/>
        </w:rPr>
        <w:t>.</w:t>
      </w:r>
      <w:r w:rsidR="00A65AA6">
        <w:rPr>
          <w:rFonts w:ascii="Calibri" w:hAnsi="Calibri"/>
          <w:sz w:val="24"/>
          <w:szCs w:val="24"/>
        </w:rPr>
        <w:t>05</w:t>
      </w:r>
      <w:r w:rsidR="00751BC9" w:rsidRPr="00F50AD4">
        <w:rPr>
          <w:rFonts w:ascii="Calibri" w:hAnsi="Calibri"/>
          <w:sz w:val="24"/>
          <w:szCs w:val="24"/>
        </w:rPr>
        <w:t xml:space="preserve">% was used to measure the total OPEB liability for the SCRHITF.  The accounting policy for this plan is to set the Single Discount Rate equal to the prevailing municipal bond rate.  Due to the plan’s investment and funding policies, the difference between </w:t>
      </w:r>
      <w:r w:rsidR="00751BC9" w:rsidRPr="00F50AD4">
        <w:rPr>
          <w:rFonts w:ascii="Calibri" w:hAnsi="Calibri"/>
          <w:sz w:val="24"/>
          <w:szCs w:val="24"/>
        </w:rPr>
        <w:lastRenderedPageBreak/>
        <w:t xml:space="preserve">a blended discount rate and the municipal bond rate would be less than several basis points (several hundredths of one percent).  </w:t>
      </w:r>
    </w:p>
    <w:p w14:paraId="1FF015AE" w14:textId="77777777" w:rsidR="00751BC9" w:rsidRPr="00F50AD4" w:rsidRDefault="00751BC9" w:rsidP="00EE3A1E">
      <w:pPr>
        <w:pStyle w:val="NoSpacing"/>
        <w:jc w:val="both"/>
        <w:rPr>
          <w:rFonts w:ascii="Calibri" w:hAnsi="Calibri"/>
          <w:sz w:val="12"/>
          <w:szCs w:val="12"/>
        </w:rPr>
      </w:pPr>
    </w:p>
    <w:p w14:paraId="587C8069" w14:textId="4A2F164F" w:rsidR="0095119E" w:rsidRPr="00F50AD4" w:rsidRDefault="009A3EB1" w:rsidP="002F08E0">
      <w:pPr>
        <w:pStyle w:val="NoSpacing"/>
        <w:jc w:val="both"/>
        <w:rPr>
          <w:rFonts w:ascii="Calibri" w:hAnsi="Calibri"/>
          <w:sz w:val="24"/>
          <w:szCs w:val="24"/>
        </w:rPr>
      </w:pPr>
      <w:r w:rsidRPr="00F50AD4">
        <w:rPr>
          <w:rFonts w:ascii="Calibri" w:hAnsi="Calibri"/>
          <w:sz w:val="24"/>
          <w:szCs w:val="24"/>
        </w:rPr>
        <w:t xml:space="preserve">A Single Discount Rate of </w:t>
      </w:r>
      <w:r w:rsidR="00A65AA6">
        <w:rPr>
          <w:rFonts w:ascii="Calibri" w:hAnsi="Calibri"/>
          <w:sz w:val="24"/>
          <w:szCs w:val="24"/>
        </w:rPr>
        <w:t>4</w:t>
      </w:r>
      <w:r w:rsidR="001B00FF">
        <w:rPr>
          <w:rFonts w:ascii="Calibri" w:hAnsi="Calibri"/>
          <w:sz w:val="24"/>
          <w:szCs w:val="24"/>
        </w:rPr>
        <w:t>.</w:t>
      </w:r>
      <w:r w:rsidR="00A65AA6">
        <w:rPr>
          <w:rFonts w:ascii="Calibri" w:hAnsi="Calibri"/>
          <w:sz w:val="24"/>
          <w:szCs w:val="24"/>
        </w:rPr>
        <w:t>41</w:t>
      </w:r>
      <w:r w:rsidR="00751BC9" w:rsidRPr="00F50AD4">
        <w:rPr>
          <w:rFonts w:ascii="Calibri" w:hAnsi="Calibri"/>
          <w:sz w:val="24"/>
          <w:szCs w:val="24"/>
        </w:rPr>
        <w:t xml:space="preserve">% was used to measure the total OPEB liability for the SCLTDITF.  This Single Discount Rate was based on an expected rate of return on plan investments of </w:t>
      </w:r>
      <w:r w:rsidR="00AE48BC" w:rsidRPr="00F50AD4">
        <w:rPr>
          <w:rFonts w:ascii="Calibri" w:hAnsi="Calibri"/>
          <w:sz w:val="24"/>
          <w:szCs w:val="24"/>
        </w:rPr>
        <w:t>3</w:t>
      </w:r>
      <w:r w:rsidR="00751BC9" w:rsidRPr="00F50AD4">
        <w:rPr>
          <w:rFonts w:ascii="Calibri" w:hAnsi="Calibri"/>
          <w:sz w:val="24"/>
          <w:szCs w:val="24"/>
        </w:rPr>
        <w:t>.00% and a municipal bond rate</w:t>
      </w:r>
      <w:r w:rsidR="002E346A" w:rsidRPr="00F50AD4">
        <w:rPr>
          <w:rFonts w:ascii="Calibri" w:hAnsi="Calibri"/>
          <w:sz w:val="24"/>
          <w:szCs w:val="24"/>
        </w:rPr>
        <w:t xml:space="preserve"> of</w:t>
      </w:r>
      <w:r w:rsidR="00751BC9" w:rsidRPr="00F50AD4">
        <w:rPr>
          <w:rFonts w:ascii="Calibri" w:hAnsi="Calibri"/>
          <w:sz w:val="24"/>
          <w:szCs w:val="24"/>
        </w:rPr>
        <w:t xml:space="preserve"> </w:t>
      </w:r>
      <w:r w:rsidR="00A65AA6">
        <w:rPr>
          <w:rFonts w:ascii="Calibri" w:hAnsi="Calibri"/>
          <w:sz w:val="24"/>
          <w:szCs w:val="24"/>
        </w:rPr>
        <w:t>5</w:t>
      </w:r>
      <w:r w:rsidR="00751BC9" w:rsidRPr="00F50AD4">
        <w:rPr>
          <w:rFonts w:ascii="Calibri" w:hAnsi="Calibri"/>
          <w:sz w:val="24"/>
          <w:szCs w:val="24"/>
        </w:rPr>
        <w:t>.</w:t>
      </w:r>
      <w:r w:rsidR="00A65AA6">
        <w:rPr>
          <w:rFonts w:ascii="Calibri" w:hAnsi="Calibri"/>
          <w:sz w:val="24"/>
          <w:szCs w:val="24"/>
        </w:rPr>
        <w:t>20</w:t>
      </w:r>
      <w:r w:rsidR="00751BC9" w:rsidRPr="00F50AD4">
        <w:rPr>
          <w:rFonts w:ascii="Calibri" w:hAnsi="Calibri"/>
          <w:sz w:val="24"/>
          <w:szCs w:val="24"/>
        </w:rPr>
        <w:t xml:space="preserve">%.  The projection of cash flows to determine this Single Discount Rate assumed that employer contributions will remain </w:t>
      </w:r>
      <w:r w:rsidR="00F60677" w:rsidRPr="00F50AD4">
        <w:rPr>
          <w:rFonts w:ascii="Calibri" w:hAnsi="Calibri"/>
          <w:sz w:val="24"/>
          <w:szCs w:val="24"/>
        </w:rPr>
        <w:t xml:space="preserve">at </w:t>
      </w:r>
      <w:r w:rsidR="00751BC9" w:rsidRPr="00F50AD4">
        <w:rPr>
          <w:rFonts w:ascii="Calibri" w:hAnsi="Calibri"/>
          <w:sz w:val="24"/>
          <w:szCs w:val="24"/>
        </w:rPr>
        <w:t>$38.64 per year for each covered active employee.  Based on these assumptions, the plan’s Fiduciary Net Position and future contributions were sufficient to finance the benefit payments through the year 20</w:t>
      </w:r>
      <w:r w:rsidR="00B907F5">
        <w:rPr>
          <w:rFonts w:ascii="Calibri" w:hAnsi="Calibri"/>
          <w:sz w:val="24"/>
          <w:szCs w:val="24"/>
        </w:rPr>
        <w:t>3</w:t>
      </w:r>
      <w:r w:rsidR="00407926">
        <w:rPr>
          <w:rFonts w:ascii="Calibri" w:hAnsi="Calibri"/>
          <w:sz w:val="24"/>
          <w:szCs w:val="24"/>
        </w:rPr>
        <w:t>4</w:t>
      </w:r>
      <w:r w:rsidR="00751BC9" w:rsidRPr="00F50AD4">
        <w:rPr>
          <w:rFonts w:ascii="Calibri" w:hAnsi="Calibri"/>
          <w:sz w:val="24"/>
          <w:szCs w:val="24"/>
        </w:rPr>
        <w:t>.  As a result, the long-term expected rate of return on plan investments was applied to project benefit payments through the year 20</w:t>
      </w:r>
      <w:r w:rsidR="00B907F5">
        <w:rPr>
          <w:rFonts w:ascii="Calibri" w:hAnsi="Calibri"/>
          <w:sz w:val="24"/>
          <w:szCs w:val="24"/>
        </w:rPr>
        <w:t>3</w:t>
      </w:r>
      <w:r w:rsidR="00407926">
        <w:rPr>
          <w:rFonts w:ascii="Calibri" w:hAnsi="Calibri"/>
          <w:sz w:val="24"/>
          <w:szCs w:val="24"/>
        </w:rPr>
        <w:t>4</w:t>
      </w:r>
      <w:r w:rsidR="00751BC9" w:rsidRPr="00F50AD4">
        <w:rPr>
          <w:rFonts w:ascii="Calibri" w:hAnsi="Calibri"/>
          <w:sz w:val="24"/>
          <w:szCs w:val="24"/>
        </w:rPr>
        <w:t>, and the municipal bond rate was applied to all benefit payments after that date.</w:t>
      </w:r>
    </w:p>
    <w:p w14:paraId="26A665A0" w14:textId="77777777" w:rsidR="00F50AD4" w:rsidRPr="00327C49" w:rsidRDefault="00F50AD4" w:rsidP="002F08E0">
      <w:pPr>
        <w:pStyle w:val="NoSpacing"/>
        <w:jc w:val="both"/>
        <w:rPr>
          <w:rFonts w:ascii="Calibri" w:hAnsi="Calibri"/>
          <w:b/>
          <w:sz w:val="12"/>
          <w:szCs w:val="12"/>
          <w:u w:val="single"/>
        </w:rPr>
      </w:pPr>
    </w:p>
    <w:p w14:paraId="3B5731EF" w14:textId="77777777" w:rsidR="00CE37E3" w:rsidRPr="00F50AD4" w:rsidRDefault="00CE37E3" w:rsidP="00CE37E3">
      <w:pPr>
        <w:pStyle w:val="NoSpacing"/>
        <w:jc w:val="both"/>
        <w:rPr>
          <w:rFonts w:ascii="Calibri" w:hAnsi="Calibri"/>
          <w:b/>
          <w:sz w:val="24"/>
          <w:szCs w:val="24"/>
          <w:u w:val="single"/>
        </w:rPr>
      </w:pPr>
      <w:r w:rsidRPr="00F50AD4">
        <w:rPr>
          <w:rFonts w:ascii="Calibri" w:hAnsi="Calibri"/>
          <w:b/>
          <w:sz w:val="24"/>
          <w:szCs w:val="24"/>
          <w:u w:val="single"/>
        </w:rPr>
        <w:t>Long-term Expected Rate of Return</w:t>
      </w:r>
    </w:p>
    <w:p w14:paraId="72DE6DC7" w14:textId="77777777" w:rsidR="00327C49" w:rsidRDefault="006D484F" w:rsidP="00672025">
      <w:pPr>
        <w:pStyle w:val="NoSpacing"/>
        <w:jc w:val="both"/>
        <w:rPr>
          <w:sz w:val="24"/>
          <w:szCs w:val="24"/>
        </w:rPr>
      </w:pPr>
      <w:r w:rsidRPr="00F50AD4">
        <w:rPr>
          <w:sz w:val="24"/>
          <w:szCs w:val="24"/>
        </w:rPr>
        <w:t>The long-term expected rate of return represent</w:t>
      </w:r>
      <w:r w:rsidR="00074225" w:rsidRPr="00F50AD4">
        <w:rPr>
          <w:sz w:val="24"/>
          <w:szCs w:val="24"/>
        </w:rPr>
        <w:t>s</w:t>
      </w:r>
      <w:r w:rsidRPr="00F50AD4">
        <w:rPr>
          <w:sz w:val="24"/>
          <w:szCs w:val="24"/>
        </w:rPr>
        <w:t xml:space="preserve"> assumptions developed using an </w:t>
      </w:r>
      <w:proofErr w:type="gramStart"/>
      <w:r w:rsidRPr="00F50AD4">
        <w:rPr>
          <w:sz w:val="24"/>
          <w:szCs w:val="24"/>
        </w:rPr>
        <w:t>arithmetic building</w:t>
      </w:r>
      <w:proofErr w:type="gramEnd"/>
      <w:r w:rsidRPr="00F50AD4">
        <w:rPr>
          <w:sz w:val="24"/>
          <w:szCs w:val="24"/>
        </w:rPr>
        <w:t xml:space="preserve"> block approach primarily based on consensus expectations and </w:t>
      </w:r>
      <w:proofErr w:type="gramStart"/>
      <w:r w:rsidRPr="00F50AD4">
        <w:rPr>
          <w:sz w:val="24"/>
          <w:szCs w:val="24"/>
        </w:rPr>
        <w:t>market based</w:t>
      </w:r>
      <w:proofErr w:type="gramEnd"/>
      <w:r w:rsidRPr="00F50AD4">
        <w:rPr>
          <w:sz w:val="24"/>
          <w:szCs w:val="24"/>
        </w:rPr>
        <w:t xml:space="preserve"> inputs.  The expected returns, along with the expected inflation rate, form the basis for the target asset allocation adopted at the beginning of the 201</w:t>
      </w:r>
      <w:r w:rsidR="00982E23" w:rsidRPr="00F50AD4">
        <w:rPr>
          <w:sz w:val="24"/>
          <w:szCs w:val="24"/>
        </w:rPr>
        <w:t>8</w:t>
      </w:r>
      <w:r w:rsidRPr="00F50AD4">
        <w:rPr>
          <w:sz w:val="24"/>
          <w:szCs w:val="24"/>
        </w:rPr>
        <w:t xml:space="preserve"> fiscal year.  The long-term expected rate of return is produced by </w:t>
      </w:r>
      <w:proofErr w:type="gramStart"/>
      <w:r w:rsidRPr="00F50AD4">
        <w:rPr>
          <w:sz w:val="24"/>
          <w:szCs w:val="24"/>
        </w:rPr>
        <w:t>weighting</w:t>
      </w:r>
      <w:proofErr w:type="gramEnd"/>
      <w:r w:rsidRPr="00F50AD4">
        <w:rPr>
          <w:sz w:val="24"/>
          <w:szCs w:val="24"/>
        </w:rPr>
        <w:t xml:space="preserve"> the expected future real rates of return by the target allocation percentage and adding expected inflation.</w:t>
      </w:r>
      <w:r w:rsidR="00705116" w:rsidRPr="00F50AD4">
        <w:rPr>
          <w:sz w:val="24"/>
          <w:szCs w:val="24"/>
        </w:rPr>
        <w:t xml:space="preserve">  This information is summarized in the following table:</w:t>
      </w:r>
    </w:p>
    <w:p w14:paraId="383DED39" w14:textId="77777777" w:rsidR="005E5797" w:rsidRPr="005E5797" w:rsidRDefault="005E5797" w:rsidP="00672025">
      <w:pPr>
        <w:pStyle w:val="NoSpacing"/>
        <w:jc w:val="both"/>
        <w:rPr>
          <w:sz w:val="16"/>
          <w:szCs w:val="16"/>
        </w:rPr>
      </w:pPr>
    </w:p>
    <w:bookmarkStart w:id="1" w:name="_MON_1568190750"/>
    <w:bookmarkEnd w:id="1"/>
    <w:p w14:paraId="221F7212" w14:textId="5FB80575" w:rsidR="00EF7C06" w:rsidRPr="008E2DBA" w:rsidRDefault="005E5797" w:rsidP="00672025">
      <w:pPr>
        <w:pStyle w:val="NoSpacing"/>
        <w:jc w:val="both"/>
        <w:rPr>
          <w:rFonts w:ascii="Calibri" w:hAnsi="Calibri"/>
          <w:b/>
          <w:sz w:val="24"/>
          <w:szCs w:val="24"/>
          <w:highlight w:val="yellow"/>
          <w:u w:val="single"/>
        </w:rPr>
      </w:pPr>
      <w:r w:rsidRPr="00F50AD4">
        <w:rPr>
          <w:rFonts w:ascii="Calibri" w:hAnsi="Calibri"/>
          <w:sz w:val="24"/>
          <w:szCs w:val="24"/>
        </w:rPr>
        <w:object w:dxaOrig="10222" w:dyaOrig="6960" w14:anchorId="01C6EC56">
          <v:shape id="_x0000_i1026" type="#_x0000_t75" style="width:510.75pt;height:316.5pt" o:ole="">
            <v:imagedata r:id="rId11" o:title=""/>
          </v:shape>
          <o:OLEObject Type="Embed" ProgID="Excel.Sheet.12" ShapeID="_x0000_i1026" DrawAspect="Content" ObjectID="_1841058251" r:id="rId12"/>
        </w:object>
      </w:r>
      <w:r w:rsidR="00EF7C06" w:rsidRPr="008E2DBA">
        <w:rPr>
          <w:rFonts w:ascii="Calibri" w:hAnsi="Calibri"/>
          <w:b/>
          <w:sz w:val="24"/>
          <w:szCs w:val="24"/>
          <w:highlight w:val="yellow"/>
          <w:u w:val="single"/>
        </w:rPr>
        <w:br w:type="page"/>
      </w:r>
    </w:p>
    <w:p w14:paraId="2B67DB68" w14:textId="77777777" w:rsidR="00A542F1" w:rsidRPr="00E0609C" w:rsidRDefault="00A542F1" w:rsidP="00A542F1">
      <w:pPr>
        <w:pStyle w:val="NoSpacing"/>
        <w:jc w:val="both"/>
        <w:rPr>
          <w:rFonts w:ascii="Calibri" w:hAnsi="Calibri"/>
          <w:b/>
          <w:sz w:val="24"/>
          <w:szCs w:val="24"/>
          <w:u w:val="single"/>
        </w:rPr>
      </w:pPr>
      <w:r w:rsidRPr="00E0609C">
        <w:rPr>
          <w:rFonts w:ascii="Calibri" w:hAnsi="Calibri"/>
          <w:b/>
          <w:sz w:val="24"/>
          <w:szCs w:val="24"/>
          <w:u w:val="single"/>
        </w:rPr>
        <w:lastRenderedPageBreak/>
        <w:t>Sensitivity Analysis</w:t>
      </w:r>
    </w:p>
    <w:p w14:paraId="4A58E778" w14:textId="6DBE9CDF"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SCRHITF’s net OPEB liability calculated usi</w:t>
      </w:r>
      <w:r w:rsidR="009A3EB1" w:rsidRPr="00E0609C">
        <w:rPr>
          <w:rFonts w:ascii="Calibri" w:hAnsi="Calibri"/>
          <w:sz w:val="24"/>
          <w:szCs w:val="24"/>
        </w:rPr>
        <w:t xml:space="preserve">ng a Single Discount Rate of </w:t>
      </w:r>
      <w:r w:rsidR="00710851">
        <w:rPr>
          <w:rFonts w:ascii="Calibri" w:hAnsi="Calibri"/>
          <w:sz w:val="24"/>
          <w:szCs w:val="24"/>
        </w:rPr>
        <w:t>5</w:t>
      </w:r>
      <w:r w:rsidR="00F13BCC">
        <w:rPr>
          <w:rFonts w:ascii="Calibri" w:hAnsi="Calibri"/>
          <w:sz w:val="24"/>
          <w:szCs w:val="24"/>
        </w:rPr>
        <w:t>.</w:t>
      </w:r>
      <w:r w:rsidR="00710851">
        <w:rPr>
          <w:rFonts w:ascii="Calibri" w:hAnsi="Calibri"/>
          <w:sz w:val="24"/>
          <w:szCs w:val="24"/>
        </w:rPr>
        <w:t>05</w:t>
      </w:r>
      <w:r w:rsidRPr="00E0609C">
        <w:rPr>
          <w:rFonts w:ascii="Calibri" w:hAnsi="Calibri"/>
          <w:sz w:val="24"/>
          <w:szCs w:val="24"/>
        </w:rPr>
        <w:t>%, as well as what the plan’s net OPEB liability would be if it were calculated using a Single Discount Rate that is one percent lower or one percent higher:</w:t>
      </w:r>
    </w:p>
    <w:p w14:paraId="4FB4B365" w14:textId="77777777" w:rsidR="00A542F1" w:rsidRPr="00E0609C" w:rsidRDefault="00A542F1" w:rsidP="00A542F1">
      <w:pPr>
        <w:pStyle w:val="NoSpacing"/>
        <w:ind w:left="720"/>
        <w:rPr>
          <w:rFonts w:ascii="Calibri" w:hAnsi="Calibri"/>
          <w:noProof/>
          <w:sz w:val="20"/>
          <w:szCs w:val="20"/>
        </w:rPr>
      </w:pPr>
    </w:p>
    <w:bookmarkStart w:id="2" w:name="_MON_1568191358"/>
    <w:bookmarkEnd w:id="2"/>
    <w:p w14:paraId="62530A7F" w14:textId="40AB5E98" w:rsidR="00A542F1" w:rsidRPr="00E0609C" w:rsidRDefault="00710851" w:rsidP="00A542F1">
      <w:pPr>
        <w:pStyle w:val="NoSpacing"/>
        <w:jc w:val="center"/>
        <w:rPr>
          <w:rFonts w:ascii="Calibri" w:hAnsi="Calibri"/>
          <w:sz w:val="24"/>
          <w:szCs w:val="24"/>
        </w:rPr>
      </w:pPr>
      <w:r w:rsidRPr="00E0609C">
        <w:rPr>
          <w:rFonts w:ascii="Calibri" w:hAnsi="Calibri"/>
          <w:sz w:val="24"/>
          <w:szCs w:val="24"/>
        </w:rPr>
        <w:object w:dxaOrig="9054" w:dyaOrig="1760" w14:anchorId="47653E6A">
          <v:shape id="_x0000_i1027" type="#_x0000_t75" style="width:452.25pt;height:88.5pt" o:ole="">
            <v:imagedata r:id="rId13" o:title=""/>
          </v:shape>
          <o:OLEObject Type="Embed" ProgID="Excel.Sheet.12" ShapeID="_x0000_i1027" DrawAspect="Content" ObjectID="_1841058252" r:id="rId14"/>
        </w:object>
      </w:r>
    </w:p>
    <w:p w14:paraId="26C69E0D" w14:textId="77777777" w:rsidR="00A542F1" w:rsidRPr="00E0609C" w:rsidRDefault="00A542F1" w:rsidP="00A93C23">
      <w:pPr>
        <w:jc w:val="both"/>
        <w:rPr>
          <w:rFonts w:ascii="Calibri" w:hAnsi="Calibri"/>
          <w:sz w:val="24"/>
          <w:szCs w:val="24"/>
        </w:rPr>
      </w:pPr>
      <w:r w:rsidRPr="00E0609C">
        <w:rPr>
          <w:rFonts w:ascii="Calibri" w:hAnsi="Calibri"/>
          <w:sz w:val="24"/>
          <w:szCs w:val="24"/>
        </w:rPr>
        <w:t xml:space="preserve">Regarding the sensitivity of </w:t>
      </w:r>
      <w:proofErr w:type="gramStart"/>
      <w:r w:rsidRPr="00E0609C">
        <w:rPr>
          <w:rFonts w:ascii="Calibri" w:hAnsi="Calibri"/>
          <w:sz w:val="24"/>
          <w:szCs w:val="24"/>
        </w:rPr>
        <w:t>the SCRHITF’s</w:t>
      </w:r>
      <w:proofErr w:type="gramEnd"/>
      <w:r w:rsidRPr="00E0609C">
        <w:rPr>
          <w:rFonts w:ascii="Calibri" w:hAnsi="Calibri"/>
          <w:sz w:val="24"/>
          <w:szCs w:val="24"/>
        </w:rPr>
        <w:t xml:space="preserve">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bookmarkStart w:id="3" w:name="_MON_1568191603"/>
    <w:bookmarkEnd w:id="3"/>
    <w:p w14:paraId="2CAA327D" w14:textId="1191A63C" w:rsidR="00A542F1" w:rsidRPr="00E0609C" w:rsidRDefault="00710851" w:rsidP="00A542F1">
      <w:pPr>
        <w:pStyle w:val="NoSpacing"/>
        <w:jc w:val="center"/>
        <w:rPr>
          <w:rFonts w:ascii="Calibri" w:hAnsi="Calibri"/>
          <w:sz w:val="24"/>
          <w:szCs w:val="24"/>
        </w:rPr>
      </w:pPr>
      <w:r w:rsidRPr="00E0609C">
        <w:rPr>
          <w:rFonts w:ascii="Calibri" w:hAnsi="Calibri"/>
          <w:sz w:val="24"/>
          <w:szCs w:val="24"/>
        </w:rPr>
        <w:object w:dxaOrig="9054" w:dyaOrig="1180" w14:anchorId="12183192">
          <v:shape id="_x0000_i1028" type="#_x0000_t75" style="width:452.25pt;height:59.25pt" o:ole="">
            <v:imagedata r:id="rId15" o:title=""/>
          </v:shape>
          <o:OLEObject Type="Embed" ProgID="Excel.Sheet.12" ShapeID="_x0000_i1028" DrawAspect="Content" ObjectID="_1841058253" r:id="rId16"/>
        </w:object>
      </w:r>
    </w:p>
    <w:p w14:paraId="185FB01E" w14:textId="77777777" w:rsidR="000F6E25" w:rsidRPr="00E0609C" w:rsidRDefault="000F6E25" w:rsidP="00A542F1">
      <w:pPr>
        <w:pStyle w:val="NoSpacing"/>
        <w:jc w:val="both"/>
        <w:rPr>
          <w:rFonts w:ascii="Calibri" w:hAnsi="Calibri"/>
          <w:sz w:val="24"/>
          <w:szCs w:val="24"/>
        </w:rPr>
      </w:pPr>
    </w:p>
    <w:p w14:paraId="29F4260C" w14:textId="0496249B"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SCLTDITF’s net OPEB liability calculated usin</w:t>
      </w:r>
      <w:r w:rsidR="007A4133" w:rsidRPr="00E0609C">
        <w:rPr>
          <w:rFonts w:ascii="Calibri" w:hAnsi="Calibri"/>
          <w:sz w:val="24"/>
          <w:szCs w:val="24"/>
        </w:rPr>
        <w:t xml:space="preserve">g a Single Discount Rate of </w:t>
      </w:r>
      <w:r w:rsidR="00710851">
        <w:rPr>
          <w:rFonts w:ascii="Calibri" w:hAnsi="Calibri"/>
          <w:sz w:val="24"/>
          <w:szCs w:val="24"/>
        </w:rPr>
        <w:t>4</w:t>
      </w:r>
      <w:r w:rsidR="007A4133" w:rsidRPr="00E0609C">
        <w:rPr>
          <w:rFonts w:ascii="Calibri" w:hAnsi="Calibri"/>
          <w:sz w:val="24"/>
          <w:szCs w:val="24"/>
        </w:rPr>
        <w:t>.</w:t>
      </w:r>
      <w:r w:rsidR="00710851">
        <w:rPr>
          <w:rFonts w:ascii="Calibri" w:hAnsi="Calibri"/>
          <w:sz w:val="24"/>
          <w:szCs w:val="24"/>
        </w:rPr>
        <w:t>41</w:t>
      </w:r>
      <w:r w:rsidRPr="00E0609C">
        <w:rPr>
          <w:rFonts w:ascii="Calibri" w:hAnsi="Calibri"/>
          <w:sz w:val="24"/>
          <w:szCs w:val="24"/>
        </w:rPr>
        <w:t>%, as well as what the plan’s net OPEB liability would be if it were calculated using a Single Discount Rate that is one percent lower or one percent higher:</w:t>
      </w:r>
    </w:p>
    <w:p w14:paraId="16646836" w14:textId="77777777" w:rsidR="00A542F1" w:rsidRPr="00E0609C" w:rsidRDefault="00A542F1" w:rsidP="00A542F1">
      <w:pPr>
        <w:pStyle w:val="NoSpacing"/>
        <w:ind w:left="720"/>
        <w:rPr>
          <w:rFonts w:ascii="Calibri" w:hAnsi="Calibri"/>
          <w:noProof/>
          <w:sz w:val="24"/>
          <w:szCs w:val="24"/>
        </w:rPr>
      </w:pPr>
    </w:p>
    <w:bookmarkStart w:id="4" w:name="_MON_1568191751"/>
    <w:bookmarkEnd w:id="4"/>
    <w:p w14:paraId="24FEAEE5" w14:textId="40B7344F" w:rsidR="00A542F1" w:rsidRPr="00E0609C" w:rsidRDefault="00710851" w:rsidP="00A542F1">
      <w:pPr>
        <w:pStyle w:val="NoSpacing"/>
        <w:jc w:val="center"/>
        <w:rPr>
          <w:rFonts w:ascii="Calibri" w:hAnsi="Calibri"/>
          <w:sz w:val="24"/>
          <w:szCs w:val="24"/>
        </w:rPr>
      </w:pPr>
      <w:r w:rsidRPr="00E0609C">
        <w:rPr>
          <w:rFonts w:ascii="Calibri" w:hAnsi="Calibri"/>
          <w:sz w:val="24"/>
          <w:szCs w:val="24"/>
        </w:rPr>
        <w:object w:dxaOrig="9054" w:dyaOrig="1760" w14:anchorId="453255FA">
          <v:shape id="_x0000_i1029" type="#_x0000_t75" style="width:452.25pt;height:88.5pt" o:ole="">
            <v:imagedata r:id="rId17" o:title=""/>
          </v:shape>
          <o:OLEObject Type="Embed" ProgID="Excel.Sheet.12" ShapeID="_x0000_i1029" DrawAspect="Content" ObjectID="_1841058254" r:id="rId18"/>
        </w:object>
      </w:r>
    </w:p>
    <w:p w14:paraId="59884169" w14:textId="2EDED8FF" w:rsidR="002137E2" w:rsidRPr="00E0609C" w:rsidRDefault="00833013">
      <w:pPr>
        <w:rPr>
          <w:rFonts w:ascii="Calibri" w:hAnsi="Calibri"/>
          <w:sz w:val="24"/>
          <w:szCs w:val="24"/>
        </w:rPr>
      </w:pPr>
      <w:proofErr w:type="gramStart"/>
      <w:r w:rsidRPr="00E0609C">
        <w:rPr>
          <w:rFonts w:ascii="Calibri" w:hAnsi="Calibri"/>
          <w:sz w:val="24"/>
          <w:szCs w:val="24"/>
        </w:rPr>
        <w:t>T</w:t>
      </w:r>
      <w:r w:rsidR="00BE5921" w:rsidRPr="00E0609C">
        <w:rPr>
          <w:rFonts w:ascii="Calibri" w:hAnsi="Calibri"/>
          <w:sz w:val="24"/>
          <w:szCs w:val="24"/>
        </w:rPr>
        <w:t>he SCLTDITF’s</w:t>
      </w:r>
      <w:proofErr w:type="gramEnd"/>
      <w:r w:rsidR="00BE5921" w:rsidRPr="00E0609C">
        <w:rPr>
          <w:rFonts w:ascii="Calibri" w:hAnsi="Calibri"/>
          <w:sz w:val="24"/>
          <w:szCs w:val="24"/>
        </w:rPr>
        <w:t xml:space="preserve"> net OPEB liability </w:t>
      </w:r>
      <w:r w:rsidRPr="00E0609C">
        <w:rPr>
          <w:rFonts w:ascii="Calibri" w:hAnsi="Calibri"/>
          <w:sz w:val="24"/>
          <w:szCs w:val="24"/>
        </w:rPr>
        <w:t xml:space="preserve">is not affected by </w:t>
      </w:r>
      <w:r w:rsidR="00BE5921" w:rsidRPr="00E0609C">
        <w:rPr>
          <w:rFonts w:ascii="Calibri" w:hAnsi="Calibri"/>
          <w:sz w:val="24"/>
          <w:szCs w:val="24"/>
        </w:rPr>
        <w:t>changes in the healthcare cost trend rates</w:t>
      </w:r>
      <w:r w:rsidRPr="00E0609C">
        <w:rPr>
          <w:rFonts w:ascii="Calibri" w:hAnsi="Calibri"/>
          <w:sz w:val="24"/>
          <w:szCs w:val="24"/>
        </w:rPr>
        <w:t xml:space="preserve"> due to the method used to calculate benefit payments.  Therefore, the sensitivity to changes in the healthcare cost trend rates have not been calculated.</w:t>
      </w:r>
    </w:p>
    <w:p w14:paraId="05DFFADB" w14:textId="7CA74BA4" w:rsidR="00BE5921" w:rsidRPr="008E2DBA" w:rsidRDefault="00BE5921">
      <w:pPr>
        <w:rPr>
          <w:rFonts w:ascii="Calibri" w:hAnsi="Calibri"/>
          <w:sz w:val="24"/>
          <w:szCs w:val="24"/>
          <w:highlight w:val="yellow"/>
        </w:rPr>
      </w:pPr>
    </w:p>
    <w:p w14:paraId="390DD99A" w14:textId="6361A8B5" w:rsidR="00BE5921" w:rsidRPr="008E2DBA" w:rsidRDefault="00BE5921">
      <w:pPr>
        <w:rPr>
          <w:rFonts w:ascii="Calibri" w:hAnsi="Calibri"/>
          <w:sz w:val="24"/>
          <w:szCs w:val="24"/>
          <w:highlight w:val="yellow"/>
        </w:rPr>
      </w:pPr>
    </w:p>
    <w:p w14:paraId="349217B3" w14:textId="63A3EFBD" w:rsidR="00BE5921" w:rsidRPr="008E2DBA" w:rsidRDefault="00BE5921">
      <w:pPr>
        <w:rPr>
          <w:rFonts w:ascii="Calibri" w:hAnsi="Calibri"/>
          <w:sz w:val="24"/>
          <w:szCs w:val="24"/>
          <w:highlight w:val="yellow"/>
        </w:rPr>
      </w:pPr>
    </w:p>
    <w:p w14:paraId="23310AF7" w14:textId="77777777" w:rsidR="00BE5921" w:rsidRPr="008E2DBA" w:rsidRDefault="00BE5921">
      <w:pPr>
        <w:rPr>
          <w:rFonts w:ascii="Calibri" w:hAnsi="Calibri"/>
          <w:b/>
          <w:sz w:val="24"/>
          <w:szCs w:val="24"/>
          <w:highlight w:val="yellow"/>
        </w:rPr>
      </w:pPr>
    </w:p>
    <w:p w14:paraId="5B423827" w14:textId="77777777" w:rsidR="00705116" w:rsidRPr="00CC5F71" w:rsidRDefault="00A542F1" w:rsidP="00705116">
      <w:pPr>
        <w:pStyle w:val="NoSpacing"/>
        <w:jc w:val="both"/>
        <w:rPr>
          <w:rFonts w:ascii="Calibri" w:hAnsi="Calibri"/>
          <w:b/>
          <w:sz w:val="24"/>
          <w:szCs w:val="24"/>
        </w:rPr>
      </w:pPr>
      <w:r w:rsidRPr="00CC5F71">
        <w:rPr>
          <w:rFonts w:ascii="Calibri" w:hAnsi="Calibri"/>
          <w:b/>
          <w:sz w:val="24"/>
          <w:szCs w:val="24"/>
        </w:rPr>
        <w:lastRenderedPageBreak/>
        <w:t>Note 4</w:t>
      </w:r>
      <w:proofErr w:type="gramStart"/>
      <w:r w:rsidRPr="00CC5F71">
        <w:rPr>
          <w:rFonts w:ascii="Calibri" w:hAnsi="Calibri"/>
          <w:b/>
          <w:sz w:val="24"/>
          <w:szCs w:val="24"/>
        </w:rPr>
        <w:t>:  OPEB</w:t>
      </w:r>
      <w:proofErr w:type="gramEnd"/>
      <w:r w:rsidRPr="00CC5F71">
        <w:rPr>
          <w:rFonts w:ascii="Calibri" w:hAnsi="Calibri"/>
          <w:b/>
          <w:sz w:val="24"/>
          <w:szCs w:val="24"/>
        </w:rPr>
        <w:t xml:space="preserve"> Expense</w:t>
      </w:r>
    </w:p>
    <w:p w14:paraId="1671164C" w14:textId="36122533" w:rsidR="00A542F1" w:rsidRPr="00CC5F71" w:rsidRDefault="00E64100" w:rsidP="00705116">
      <w:pPr>
        <w:pStyle w:val="NoSpacing"/>
        <w:jc w:val="both"/>
        <w:rPr>
          <w:sz w:val="24"/>
          <w:szCs w:val="24"/>
        </w:rPr>
      </w:pPr>
      <w:r w:rsidRPr="00CC5F71">
        <w:rPr>
          <w:sz w:val="24"/>
          <w:szCs w:val="24"/>
        </w:rPr>
        <w:t xml:space="preserve">Components of collective OPEB expense reported in the </w:t>
      </w:r>
      <w:r w:rsidR="00556D3E" w:rsidRPr="00CC5F71">
        <w:rPr>
          <w:sz w:val="24"/>
          <w:szCs w:val="24"/>
        </w:rPr>
        <w:t>Schedule of OPEB Amounts by Employer</w:t>
      </w:r>
      <w:r w:rsidRPr="00CC5F71">
        <w:rPr>
          <w:sz w:val="24"/>
          <w:szCs w:val="24"/>
        </w:rPr>
        <w:t xml:space="preserve"> for the</w:t>
      </w:r>
      <w:r w:rsidR="003D1109" w:rsidRPr="00CC5F71">
        <w:rPr>
          <w:sz w:val="24"/>
          <w:szCs w:val="24"/>
        </w:rPr>
        <w:t xml:space="preserve"> fiscal year ended June 30, </w:t>
      </w:r>
      <w:proofErr w:type="gramStart"/>
      <w:r w:rsidR="003D1109" w:rsidRPr="00CC5F71">
        <w:rPr>
          <w:sz w:val="24"/>
          <w:szCs w:val="24"/>
        </w:rPr>
        <w:t>20</w:t>
      </w:r>
      <w:r w:rsidR="00CC5F71" w:rsidRPr="00CC5F71">
        <w:rPr>
          <w:sz w:val="24"/>
          <w:szCs w:val="24"/>
        </w:rPr>
        <w:t>2</w:t>
      </w:r>
      <w:r w:rsidR="003C4A3C">
        <w:rPr>
          <w:sz w:val="24"/>
          <w:szCs w:val="24"/>
        </w:rPr>
        <w:t>4</w:t>
      </w:r>
      <w:proofErr w:type="gramEnd"/>
      <w:r w:rsidRPr="00CC5F71">
        <w:rPr>
          <w:sz w:val="24"/>
          <w:szCs w:val="24"/>
        </w:rPr>
        <w:t xml:space="preserve"> are presented below.</w:t>
      </w:r>
    </w:p>
    <w:p w14:paraId="0B712B31" w14:textId="77777777" w:rsidR="00EF7C06" w:rsidRPr="00CC5F71" w:rsidRDefault="00EF7C06" w:rsidP="00705116">
      <w:pPr>
        <w:pStyle w:val="NoSpacing"/>
        <w:jc w:val="both"/>
        <w:rPr>
          <w:sz w:val="16"/>
          <w:szCs w:val="16"/>
        </w:rPr>
      </w:pPr>
    </w:p>
    <w:bookmarkStart w:id="5" w:name="_MON_1592308385"/>
    <w:bookmarkEnd w:id="5"/>
    <w:p w14:paraId="0F92B884" w14:textId="4464B299" w:rsidR="00E64100" w:rsidRPr="00CC5F71" w:rsidRDefault="0096021E" w:rsidP="00705116">
      <w:pPr>
        <w:pStyle w:val="NoSpacing"/>
        <w:jc w:val="both"/>
        <w:rPr>
          <w:rFonts w:ascii="Calibri" w:hAnsi="Calibri"/>
          <w:sz w:val="24"/>
          <w:szCs w:val="24"/>
        </w:rPr>
      </w:pPr>
      <w:r w:rsidRPr="00CC5F71">
        <w:rPr>
          <w:rFonts w:ascii="Calibri" w:hAnsi="Calibri"/>
          <w:sz w:val="24"/>
          <w:szCs w:val="24"/>
        </w:rPr>
        <w:object w:dxaOrig="9392" w:dyaOrig="3530" w14:anchorId="37192A8B">
          <v:shape id="_x0000_i1030" type="#_x0000_t75" style="width:469.5pt;height:177.75pt" o:ole="">
            <v:imagedata r:id="rId19" o:title=""/>
          </v:shape>
          <o:OLEObject Type="Embed" ProgID="Excel.Sheet.12" ShapeID="_x0000_i1030" DrawAspect="Content" ObjectID="_1841058255" r:id="rId20"/>
        </w:object>
      </w:r>
      <w:r w:rsidR="00C546AF" w:rsidRPr="00CC5F71">
        <w:rPr>
          <w:rFonts w:ascii="Calibri" w:hAnsi="Calibri"/>
          <w:sz w:val="24"/>
          <w:szCs w:val="24"/>
        </w:rPr>
        <w:t xml:space="preserve">Additional items included in Total </w:t>
      </w:r>
      <w:r w:rsidR="00556D3E" w:rsidRPr="00CC5F71">
        <w:rPr>
          <w:rFonts w:ascii="Calibri" w:hAnsi="Calibri"/>
          <w:sz w:val="24"/>
          <w:szCs w:val="24"/>
        </w:rPr>
        <w:t>Employer</w:t>
      </w:r>
      <w:r w:rsidR="00C546AF" w:rsidRPr="00CC5F71">
        <w:rPr>
          <w:rFonts w:ascii="Calibri" w:hAnsi="Calibri"/>
          <w:sz w:val="24"/>
          <w:szCs w:val="24"/>
        </w:rPr>
        <w:t xml:space="preserv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sidRPr="00CC5F71">
        <w:rPr>
          <w:rFonts w:ascii="Calibri" w:hAnsi="Calibri"/>
          <w:sz w:val="24"/>
          <w:szCs w:val="24"/>
        </w:rPr>
        <w:t xml:space="preserve"> </w:t>
      </w:r>
    </w:p>
    <w:p w14:paraId="0ABD5EE5" w14:textId="77777777" w:rsidR="00360C8A" w:rsidRPr="008E2DBA" w:rsidRDefault="00360C8A" w:rsidP="00705116">
      <w:pPr>
        <w:pStyle w:val="NoSpacing"/>
        <w:jc w:val="both"/>
        <w:rPr>
          <w:rFonts w:ascii="Calibri" w:hAnsi="Calibri"/>
          <w:b/>
          <w:sz w:val="20"/>
          <w:szCs w:val="20"/>
          <w:highlight w:val="yellow"/>
        </w:rPr>
      </w:pPr>
    </w:p>
    <w:p w14:paraId="1DEE40D9" w14:textId="77777777" w:rsidR="008B4DC5" w:rsidRPr="008B3950" w:rsidRDefault="008B4DC5" w:rsidP="00705116">
      <w:pPr>
        <w:pStyle w:val="NoSpacing"/>
        <w:jc w:val="both"/>
        <w:rPr>
          <w:rFonts w:ascii="Calibri" w:hAnsi="Calibri"/>
          <w:b/>
          <w:sz w:val="24"/>
          <w:szCs w:val="24"/>
        </w:rPr>
      </w:pPr>
      <w:r w:rsidRPr="008B3950">
        <w:rPr>
          <w:rFonts w:ascii="Calibri" w:hAnsi="Calibri"/>
          <w:b/>
          <w:sz w:val="24"/>
          <w:szCs w:val="24"/>
        </w:rPr>
        <w:t>Note 5</w:t>
      </w:r>
      <w:proofErr w:type="gramStart"/>
      <w:r w:rsidRPr="008B3950">
        <w:rPr>
          <w:rFonts w:ascii="Calibri" w:hAnsi="Calibri"/>
          <w:b/>
          <w:sz w:val="24"/>
          <w:szCs w:val="24"/>
        </w:rPr>
        <w:t>:  Deferred</w:t>
      </w:r>
      <w:proofErr w:type="gramEnd"/>
      <w:r w:rsidRPr="008B3950">
        <w:rPr>
          <w:rFonts w:ascii="Calibri" w:hAnsi="Calibri"/>
          <w:b/>
          <w:sz w:val="24"/>
          <w:szCs w:val="24"/>
        </w:rPr>
        <w:t xml:space="preserve"> Outflows and Inflows of Resources</w:t>
      </w:r>
    </w:p>
    <w:p w14:paraId="583A8D83" w14:textId="77777777" w:rsidR="0025545B" w:rsidRPr="008B3950" w:rsidRDefault="0025545B" w:rsidP="00705116">
      <w:pPr>
        <w:pStyle w:val="NoSpacing"/>
        <w:jc w:val="both"/>
        <w:rPr>
          <w:sz w:val="24"/>
          <w:szCs w:val="24"/>
        </w:rPr>
      </w:pPr>
      <w:r w:rsidRPr="008B3950">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14:paraId="5953BBC5" w14:textId="77777777" w:rsidR="0025545B" w:rsidRPr="008B3950" w:rsidRDefault="0025545B" w:rsidP="00705116">
      <w:pPr>
        <w:pStyle w:val="NoSpacing"/>
        <w:jc w:val="both"/>
        <w:rPr>
          <w:sz w:val="16"/>
          <w:szCs w:val="16"/>
        </w:rPr>
      </w:pPr>
    </w:p>
    <w:p w14:paraId="7C5764F5" w14:textId="77777777" w:rsidR="0025545B" w:rsidRPr="008B3950" w:rsidRDefault="0025545B" w:rsidP="00705116">
      <w:pPr>
        <w:pStyle w:val="NoSpacing"/>
        <w:jc w:val="both"/>
        <w:rPr>
          <w:sz w:val="24"/>
          <w:szCs w:val="24"/>
        </w:rPr>
      </w:pPr>
      <w:r w:rsidRPr="008B3950">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14:paraId="3FC8F687" w14:textId="77777777" w:rsidR="00EE3A1E" w:rsidRPr="008B3950" w:rsidRDefault="00EE3A1E" w:rsidP="00705116">
      <w:pPr>
        <w:pStyle w:val="NoSpacing"/>
        <w:jc w:val="both"/>
        <w:rPr>
          <w:sz w:val="16"/>
          <w:szCs w:val="16"/>
        </w:rPr>
      </w:pPr>
    </w:p>
    <w:p w14:paraId="1BA665B2" w14:textId="1F8D5475" w:rsidR="001752F1" w:rsidRPr="008B3950" w:rsidRDefault="00C35892" w:rsidP="00705116">
      <w:pPr>
        <w:pStyle w:val="NoSpacing"/>
        <w:jc w:val="both"/>
        <w:rPr>
          <w:sz w:val="24"/>
          <w:szCs w:val="24"/>
        </w:rPr>
      </w:pPr>
      <w:r w:rsidRPr="008B3950">
        <w:rPr>
          <w:sz w:val="24"/>
          <w:szCs w:val="24"/>
        </w:rPr>
        <w:t xml:space="preserve">The </w:t>
      </w:r>
      <w:proofErr w:type="gramStart"/>
      <w:r w:rsidRPr="008B3950">
        <w:rPr>
          <w:sz w:val="24"/>
          <w:szCs w:val="24"/>
        </w:rPr>
        <w:t>schedules</w:t>
      </w:r>
      <w:proofErr w:type="gramEnd"/>
      <w:r w:rsidRPr="008B3950">
        <w:rPr>
          <w:sz w:val="24"/>
          <w:szCs w:val="24"/>
        </w:rPr>
        <w:t xml:space="preserve"> </w:t>
      </w:r>
      <w:r w:rsidR="0025545B" w:rsidRPr="008B3950">
        <w:rPr>
          <w:sz w:val="24"/>
          <w:szCs w:val="24"/>
        </w:rPr>
        <w:t>on the following page</w:t>
      </w:r>
      <w:r w:rsidR="00896070" w:rsidRPr="008B3950">
        <w:rPr>
          <w:sz w:val="24"/>
          <w:szCs w:val="24"/>
        </w:rPr>
        <w:t>s</w:t>
      </w:r>
      <w:r w:rsidRPr="008B3950">
        <w:rPr>
          <w:sz w:val="24"/>
          <w:szCs w:val="24"/>
        </w:rPr>
        <w:t xml:space="preserve"> </w:t>
      </w:r>
      <w:proofErr w:type="gramStart"/>
      <w:r w:rsidRPr="008B3950">
        <w:rPr>
          <w:sz w:val="24"/>
          <w:szCs w:val="24"/>
        </w:rPr>
        <w:t>reflect</w:t>
      </w:r>
      <w:r w:rsidR="0025545B" w:rsidRPr="008B3950">
        <w:rPr>
          <w:sz w:val="24"/>
          <w:szCs w:val="24"/>
        </w:rPr>
        <w:t>s</w:t>
      </w:r>
      <w:proofErr w:type="gramEnd"/>
      <w:r w:rsidRPr="008B3950">
        <w:rPr>
          <w:sz w:val="24"/>
          <w:szCs w:val="24"/>
        </w:rPr>
        <w:t xml:space="preserve"> the amortization of collective deferred outflows/(inflows) of resources related to O</w:t>
      </w:r>
      <w:r w:rsidR="00C60F17" w:rsidRPr="008B3950">
        <w:rPr>
          <w:sz w:val="24"/>
          <w:szCs w:val="24"/>
        </w:rPr>
        <w:t>PEB outstanding at June 30, 20</w:t>
      </w:r>
      <w:r w:rsidR="008B3950" w:rsidRPr="008B3950">
        <w:rPr>
          <w:sz w:val="24"/>
          <w:szCs w:val="24"/>
        </w:rPr>
        <w:t>2</w:t>
      </w:r>
      <w:r w:rsidR="0096021E">
        <w:rPr>
          <w:sz w:val="24"/>
          <w:szCs w:val="24"/>
        </w:rPr>
        <w:t>5</w:t>
      </w:r>
      <w:r w:rsidRPr="008B3950">
        <w:rPr>
          <w:sz w:val="24"/>
          <w:szCs w:val="24"/>
        </w:rPr>
        <w:t>.</w:t>
      </w:r>
      <w:r w:rsidR="00EE3A1E" w:rsidRPr="008B3950">
        <w:rPr>
          <w:sz w:val="24"/>
          <w:szCs w:val="24"/>
        </w:rPr>
        <w:t xml:space="preserve">  </w:t>
      </w:r>
    </w:p>
    <w:p w14:paraId="59983089" w14:textId="77777777" w:rsidR="001752F1" w:rsidRPr="008B3950" w:rsidRDefault="001752F1" w:rsidP="00705116">
      <w:pPr>
        <w:pStyle w:val="NoSpacing"/>
        <w:jc w:val="both"/>
        <w:rPr>
          <w:sz w:val="16"/>
          <w:szCs w:val="16"/>
        </w:rPr>
      </w:pPr>
    </w:p>
    <w:p w14:paraId="3E8ACD90" w14:textId="77777777" w:rsidR="008B4DC5" w:rsidRPr="008B3950" w:rsidRDefault="00EE3A1E" w:rsidP="00705116">
      <w:pPr>
        <w:pStyle w:val="NoSpacing"/>
        <w:jc w:val="both"/>
        <w:rPr>
          <w:sz w:val="24"/>
          <w:szCs w:val="24"/>
        </w:rPr>
      </w:pPr>
      <w:r w:rsidRPr="008B3950">
        <w:rPr>
          <w:sz w:val="24"/>
          <w:szCs w:val="24"/>
        </w:rPr>
        <w:t>As a reminder, in addition to recognizing a proportionate share of the deferred outflows and inflows shown on the following page, employers will also need to establish:</w:t>
      </w:r>
    </w:p>
    <w:p w14:paraId="6DFCE653" w14:textId="77777777" w:rsidR="00EE3A1E" w:rsidRPr="008B3950" w:rsidRDefault="00EE3A1E" w:rsidP="00EE3A1E">
      <w:pPr>
        <w:pStyle w:val="NoSpacing"/>
        <w:numPr>
          <w:ilvl w:val="0"/>
          <w:numId w:val="2"/>
        </w:numPr>
        <w:jc w:val="both"/>
        <w:rPr>
          <w:sz w:val="24"/>
          <w:szCs w:val="24"/>
        </w:rPr>
      </w:pPr>
      <w:r w:rsidRPr="008B3950">
        <w:rPr>
          <w:sz w:val="24"/>
          <w:szCs w:val="24"/>
        </w:rPr>
        <w:t xml:space="preserve">Deferred outflows and inflows related to changes in proportionate </w:t>
      </w:r>
      <w:r w:rsidR="004A754F" w:rsidRPr="008B3950">
        <w:rPr>
          <w:sz w:val="24"/>
          <w:szCs w:val="24"/>
        </w:rPr>
        <w:t xml:space="preserve">shares and differences between contributions and proportionate share of </w:t>
      </w:r>
      <w:proofErr w:type="gramStart"/>
      <w:r w:rsidR="004A754F" w:rsidRPr="008B3950">
        <w:rPr>
          <w:sz w:val="24"/>
          <w:szCs w:val="24"/>
        </w:rPr>
        <w:t>contributions;</w:t>
      </w:r>
      <w:proofErr w:type="gramEnd"/>
    </w:p>
    <w:p w14:paraId="1A1CF644" w14:textId="77777777" w:rsidR="004D3058" w:rsidRPr="008B3950" w:rsidRDefault="004A754F" w:rsidP="004D3058">
      <w:pPr>
        <w:pStyle w:val="NoSpacing"/>
        <w:numPr>
          <w:ilvl w:val="0"/>
          <w:numId w:val="2"/>
        </w:numPr>
        <w:rPr>
          <w:sz w:val="24"/>
          <w:szCs w:val="24"/>
        </w:rPr>
      </w:pPr>
      <w:r w:rsidRPr="008B3950">
        <w:rPr>
          <w:sz w:val="24"/>
          <w:szCs w:val="24"/>
        </w:rPr>
        <w:t>A deferred outflow related to contributions made after the measurement date.  This deferred outflow should include payroll-related surcharge contributions and implicit subsidies.</w:t>
      </w:r>
    </w:p>
    <w:p w14:paraId="54A80857" w14:textId="77777777" w:rsidR="002E0323" w:rsidRPr="007A353A" w:rsidRDefault="002E0323" w:rsidP="00705116">
      <w:pPr>
        <w:pStyle w:val="NoSpacing"/>
        <w:jc w:val="both"/>
        <w:rPr>
          <w:b/>
          <w:sz w:val="24"/>
          <w:szCs w:val="24"/>
        </w:rPr>
      </w:pPr>
      <w:r w:rsidRPr="007A353A">
        <w:rPr>
          <w:b/>
          <w:sz w:val="24"/>
          <w:szCs w:val="24"/>
        </w:rPr>
        <w:lastRenderedPageBreak/>
        <w:t>Note 6</w:t>
      </w:r>
      <w:proofErr w:type="gramStart"/>
      <w:r w:rsidRPr="007A353A">
        <w:rPr>
          <w:b/>
          <w:sz w:val="24"/>
          <w:szCs w:val="24"/>
        </w:rPr>
        <w:t>:  Additional</w:t>
      </w:r>
      <w:proofErr w:type="gramEnd"/>
      <w:r w:rsidRPr="007A353A">
        <w:rPr>
          <w:b/>
          <w:sz w:val="24"/>
          <w:szCs w:val="24"/>
        </w:rPr>
        <w:t xml:space="preserve"> Financial and Actuarial Information</w:t>
      </w:r>
    </w:p>
    <w:p w14:paraId="4D54E0B9" w14:textId="691AEBE3" w:rsidR="002E0323" w:rsidRPr="008B4DC5" w:rsidRDefault="002E0323" w:rsidP="00705116">
      <w:pPr>
        <w:pStyle w:val="NoSpacing"/>
        <w:jc w:val="both"/>
        <w:rPr>
          <w:sz w:val="24"/>
          <w:szCs w:val="24"/>
        </w:rPr>
      </w:pPr>
      <w:r w:rsidRPr="007A353A">
        <w:rPr>
          <w:sz w:val="24"/>
          <w:szCs w:val="24"/>
        </w:rPr>
        <w:t xml:space="preserve">Information contained in these Notes to the Schedules of OPEB </w:t>
      </w:r>
      <w:r w:rsidR="00705CEB" w:rsidRPr="007A353A">
        <w:rPr>
          <w:sz w:val="24"/>
          <w:szCs w:val="24"/>
        </w:rPr>
        <w:t xml:space="preserve">Amounts by Employer </w:t>
      </w:r>
      <w:r w:rsidRPr="007A353A">
        <w:rPr>
          <w:sz w:val="24"/>
          <w:szCs w:val="24"/>
        </w:rPr>
        <w:t xml:space="preserve">(the Schedules) were compiled from the </w:t>
      </w:r>
      <w:r w:rsidR="00AB455E" w:rsidRPr="007A353A">
        <w:rPr>
          <w:sz w:val="24"/>
          <w:szCs w:val="24"/>
        </w:rPr>
        <w:t>OPEB Trust Funds audited financial statements for the fiscal year ended June 30, 20</w:t>
      </w:r>
      <w:r w:rsidR="007A353A" w:rsidRPr="007A353A">
        <w:rPr>
          <w:sz w:val="24"/>
          <w:szCs w:val="24"/>
        </w:rPr>
        <w:t>2</w:t>
      </w:r>
      <w:r w:rsidR="0096021E">
        <w:rPr>
          <w:sz w:val="24"/>
          <w:szCs w:val="24"/>
        </w:rPr>
        <w:t>5</w:t>
      </w:r>
      <w:r w:rsidR="00AB455E" w:rsidRPr="007A353A">
        <w:rPr>
          <w:sz w:val="24"/>
          <w:szCs w:val="24"/>
        </w:rPr>
        <w:t>, and the accounting and financial reporting actuari</w:t>
      </w:r>
      <w:r w:rsidR="00C60F17" w:rsidRPr="007A353A">
        <w:rPr>
          <w:sz w:val="24"/>
          <w:szCs w:val="24"/>
        </w:rPr>
        <w:t>al valuation</w:t>
      </w:r>
      <w:r w:rsidR="007929EA" w:rsidRPr="007A353A">
        <w:rPr>
          <w:sz w:val="24"/>
          <w:szCs w:val="24"/>
        </w:rPr>
        <w:t>s</w:t>
      </w:r>
      <w:r w:rsidR="00C60F17" w:rsidRPr="007A353A">
        <w:rPr>
          <w:sz w:val="24"/>
          <w:szCs w:val="24"/>
        </w:rPr>
        <w:t xml:space="preserve"> as of June 30, 20</w:t>
      </w:r>
      <w:r w:rsidR="007A353A" w:rsidRPr="007A353A">
        <w:rPr>
          <w:sz w:val="24"/>
          <w:szCs w:val="24"/>
        </w:rPr>
        <w:t>2</w:t>
      </w:r>
      <w:r w:rsidR="0096021E">
        <w:rPr>
          <w:sz w:val="24"/>
          <w:szCs w:val="24"/>
        </w:rPr>
        <w:t>5</w:t>
      </w:r>
      <w:r w:rsidR="00AB455E" w:rsidRPr="007A353A">
        <w:rPr>
          <w:sz w:val="24"/>
          <w:szCs w:val="24"/>
        </w:rPr>
        <w:t>.  Additional financial information supporting the preparation of the Schedules (including the unmodified audit opinion on the financial statements and required supplementary information) is available in the OPEB Trust Funds audited financial statements.</w:t>
      </w:r>
      <w:r w:rsidR="004A754F" w:rsidRPr="007A353A">
        <w:rPr>
          <w:sz w:val="24"/>
          <w:szCs w:val="24"/>
        </w:rPr>
        <w:t xml:space="preserve">  Employers are encouraged to review Illustration II in Appendix C of GASB Statement No. 75, which provides a sample footnote disclosure and required supplementary information for a cost-sharing multiple-employer defined benefit</w:t>
      </w:r>
      <w:r w:rsidR="007929EA" w:rsidRPr="007A353A">
        <w:rPr>
          <w:sz w:val="24"/>
          <w:szCs w:val="24"/>
        </w:rPr>
        <w:t xml:space="preserve"> OPEB</w:t>
      </w:r>
      <w:r w:rsidR="004A754F" w:rsidRPr="007A353A">
        <w:rPr>
          <w:sz w:val="24"/>
          <w:szCs w:val="24"/>
        </w:rPr>
        <w:t xml:space="preserve"> plan.</w:t>
      </w:r>
    </w:p>
    <w:sectPr w:rsidR="002E0323" w:rsidRPr="008B4DC5" w:rsidSect="00E57342">
      <w:headerReference w:type="default" r:id="rId21"/>
      <w:pgSz w:w="12240" w:h="15840"/>
      <w:pgMar w:top="1440" w:right="1440" w:bottom="1440" w:left="1440" w:header="720" w:footer="432"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3B93" w14:textId="77777777" w:rsidR="00977134" w:rsidRDefault="00977134" w:rsidP="00977134">
      <w:pPr>
        <w:spacing w:after="0" w:line="240" w:lineRule="auto"/>
      </w:pPr>
      <w:r>
        <w:separator/>
      </w:r>
    </w:p>
  </w:endnote>
  <w:endnote w:type="continuationSeparator" w:id="0">
    <w:p w14:paraId="3E5A0B08" w14:textId="77777777"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78A4" w14:textId="77777777" w:rsidR="00977134" w:rsidRDefault="00977134" w:rsidP="00977134">
      <w:pPr>
        <w:spacing w:after="0" w:line="240" w:lineRule="auto"/>
      </w:pPr>
      <w:r>
        <w:separator/>
      </w:r>
    </w:p>
  </w:footnote>
  <w:footnote w:type="continuationSeparator" w:id="0">
    <w:p w14:paraId="2C12365A" w14:textId="77777777"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0EA3" w14:textId="77777777" w:rsidR="00977134" w:rsidRDefault="00977134" w:rsidP="00977134">
    <w:pPr>
      <w:pStyle w:val="Header"/>
      <w:jc w:val="center"/>
      <w:rPr>
        <w:b/>
        <w:sz w:val="24"/>
        <w:szCs w:val="24"/>
      </w:rPr>
    </w:pPr>
    <w:r>
      <w:rPr>
        <w:b/>
        <w:sz w:val="24"/>
        <w:szCs w:val="24"/>
      </w:rPr>
      <w:t>South Carolina OPEB Trusts</w:t>
    </w:r>
  </w:p>
  <w:p w14:paraId="0F2755A4" w14:textId="77777777"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14:paraId="730D208F" w14:textId="77777777" w:rsidR="006A36A9" w:rsidRDefault="006A36A9" w:rsidP="00977134">
    <w:pPr>
      <w:pStyle w:val="Header"/>
      <w:jc w:val="center"/>
      <w:rPr>
        <w:b/>
        <w:sz w:val="24"/>
        <w:szCs w:val="24"/>
      </w:rPr>
    </w:pPr>
    <w:r>
      <w:rPr>
        <w:b/>
        <w:sz w:val="24"/>
        <w:szCs w:val="24"/>
      </w:rPr>
      <w:t>OPEB Amounts by Employer</w:t>
    </w:r>
  </w:p>
  <w:p w14:paraId="59A6FFB0" w14:textId="392FAA37" w:rsidR="00977134" w:rsidRDefault="00977134" w:rsidP="00977134">
    <w:pPr>
      <w:pStyle w:val="Header"/>
      <w:jc w:val="center"/>
      <w:rPr>
        <w:b/>
        <w:sz w:val="24"/>
        <w:szCs w:val="24"/>
      </w:rPr>
    </w:pPr>
    <w:r>
      <w:rPr>
        <w:b/>
        <w:sz w:val="24"/>
        <w:szCs w:val="24"/>
      </w:rPr>
      <w:t>For the</w:t>
    </w:r>
    <w:r w:rsidR="009C4CCA">
      <w:rPr>
        <w:b/>
        <w:sz w:val="24"/>
        <w:szCs w:val="24"/>
      </w:rPr>
      <w:t xml:space="preserve"> Fiscal Year Ended June 30, 20</w:t>
    </w:r>
    <w:r w:rsidR="00707C20">
      <w:rPr>
        <w:b/>
        <w:sz w:val="24"/>
        <w:szCs w:val="24"/>
      </w:rPr>
      <w:t>2</w:t>
    </w:r>
    <w:r w:rsidR="007A1D05">
      <w:rPr>
        <w:b/>
        <w:sz w:val="24"/>
        <w:szCs w:val="24"/>
      </w:rPr>
      <w:t>5</w:t>
    </w:r>
  </w:p>
  <w:p w14:paraId="76ABF8F2" w14:textId="77777777"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835095">
    <w:abstractNumId w:val="1"/>
  </w:num>
  <w:num w:numId="2" w16cid:durableId="74969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7A"/>
    <w:rsid w:val="00044021"/>
    <w:rsid w:val="00056F62"/>
    <w:rsid w:val="000577DC"/>
    <w:rsid w:val="0006275F"/>
    <w:rsid w:val="0006430D"/>
    <w:rsid w:val="00065373"/>
    <w:rsid w:val="000728BB"/>
    <w:rsid w:val="00074225"/>
    <w:rsid w:val="00090779"/>
    <w:rsid w:val="00097CCE"/>
    <w:rsid w:val="000A1AEF"/>
    <w:rsid w:val="000A3D46"/>
    <w:rsid w:val="000B2A07"/>
    <w:rsid w:val="000D1756"/>
    <w:rsid w:val="000E49FF"/>
    <w:rsid w:val="000F6E25"/>
    <w:rsid w:val="00136638"/>
    <w:rsid w:val="001752F1"/>
    <w:rsid w:val="001B00FF"/>
    <w:rsid w:val="001C5018"/>
    <w:rsid w:val="001D4E47"/>
    <w:rsid w:val="001E1E00"/>
    <w:rsid w:val="001F2742"/>
    <w:rsid w:val="001F6BF1"/>
    <w:rsid w:val="00202D6B"/>
    <w:rsid w:val="002137E2"/>
    <w:rsid w:val="002325D1"/>
    <w:rsid w:val="0024357B"/>
    <w:rsid w:val="00245F83"/>
    <w:rsid w:val="002530D7"/>
    <w:rsid w:val="0025545B"/>
    <w:rsid w:val="00255DF1"/>
    <w:rsid w:val="0029710A"/>
    <w:rsid w:val="002B7D61"/>
    <w:rsid w:val="002E0323"/>
    <w:rsid w:val="002E346A"/>
    <w:rsid w:val="002F08E0"/>
    <w:rsid w:val="002F26B6"/>
    <w:rsid w:val="002F79D5"/>
    <w:rsid w:val="0030245E"/>
    <w:rsid w:val="003265FB"/>
    <w:rsid w:val="00327C49"/>
    <w:rsid w:val="00360C8A"/>
    <w:rsid w:val="00365C2B"/>
    <w:rsid w:val="003900E2"/>
    <w:rsid w:val="003A6F19"/>
    <w:rsid w:val="003B02A9"/>
    <w:rsid w:val="003B5773"/>
    <w:rsid w:val="003C4A3C"/>
    <w:rsid w:val="003D1109"/>
    <w:rsid w:val="003D3491"/>
    <w:rsid w:val="00407926"/>
    <w:rsid w:val="00413B79"/>
    <w:rsid w:val="00464BAE"/>
    <w:rsid w:val="00467647"/>
    <w:rsid w:val="0049075A"/>
    <w:rsid w:val="004A5D8A"/>
    <w:rsid w:val="004A754F"/>
    <w:rsid w:val="004C01B5"/>
    <w:rsid w:val="004C6537"/>
    <w:rsid w:val="004C7A4C"/>
    <w:rsid w:val="004D3058"/>
    <w:rsid w:val="004D6FEC"/>
    <w:rsid w:val="005031EE"/>
    <w:rsid w:val="0052671B"/>
    <w:rsid w:val="00530B8D"/>
    <w:rsid w:val="00536C92"/>
    <w:rsid w:val="00556577"/>
    <w:rsid w:val="00556D3E"/>
    <w:rsid w:val="0059180D"/>
    <w:rsid w:val="0059318D"/>
    <w:rsid w:val="005D36A9"/>
    <w:rsid w:val="005E372F"/>
    <w:rsid w:val="005E5797"/>
    <w:rsid w:val="005F17A0"/>
    <w:rsid w:val="005F300E"/>
    <w:rsid w:val="0061154B"/>
    <w:rsid w:val="00625E3C"/>
    <w:rsid w:val="00665DFC"/>
    <w:rsid w:val="00672025"/>
    <w:rsid w:val="006A041C"/>
    <w:rsid w:val="006A36A9"/>
    <w:rsid w:val="006B704F"/>
    <w:rsid w:val="006D1F7A"/>
    <w:rsid w:val="006D484F"/>
    <w:rsid w:val="006E4F94"/>
    <w:rsid w:val="00704455"/>
    <w:rsid w:val="00705116"/>
    <w:rsid w:val="00705CEB"/>
    <w:rsid w:val="00707C20"/>
    <w:rsid w:val="00710851"/>
    <w:rsid w:val="0072251C"/>
    <w:rsid w:val="00722F9D"/>
    <w:rsid w:val="00732CC2"/>
    <w:rsid w:val="0074566A"/>
    <w:rsid w:val="00751BC9"/>
    <w:rsid w:val="007824B1"/>
    <w:rsid w:val="0078434C"/>
    <w:rsid w:val="007929EA"/>
    <w:rsid w:val="00794E29"/>
    <w:rsid w:val="007A1D05"/>
    <w:rsid w:val="007A353A"/>
    <w:rsid w:val="007A4133"/>
    <w:rsid w:val="007A5F93"/>
    <w:rsid w:val="007D3C4A"/>
    <w:rsid w:val="00833013"/>
    <w:rsid w:val="008674B6"/>
    <w:rsid w:val="0088153B"/>
    <w:rsid w:val="00896070"/>
    <w:rsid w:val="008B3950"/>
    <w:rsid w:val="008B4DC5"/>
    <w:rsid w:val="008B7EE2"/>
    <w:rsid w:val="008D0EB6"/>
    <w:rsid w:val="008D2A19"/>
    <w:rsid w:val="008E2DBA"/>
    <w:rsid w:val="008E36E7"/>
    <w:rsid w:val="008F50B3"/>
    <w:rsid w:val="009001E0"/>
    <w:rsid w:val="00905AD2"/>
    <w:rsid w:val="0090633D"/>
    <w:rsid w:val="009430ED"/>
    <w:rsid w:val="00943FD5"/>
    <w:rsid w:val="0095119E"/>
    <w:rsid w:val="0096021E"/>
    <w:rsid w:val="00971109"/>
    <w:rsid w:val="00977134"/>
    <w:rsid w:val="00982928"/>
    <w:rsid w:val="00982A7B"/>
    <w:rsid w:val="00982E23"/>
    <w:rsid w:val="009A3EB1"/>
    <w:rsid w:val="009C4CCA"/>
    <w:rsid w:val="009C6C83"/>
    <w:rsid w:val="009E1B05"/>
    <w:rsid w:val="00A145A1"/>
    <w:rsid w:val="00A502D3"/>
    <w:rsid w:val="00A542F1"/>
    <w:rsid w:val="00A65AA6"/>
    <w:rsid w:val="00A93C23"/>
    <w:rsid w:val="00AA4A61"/>
    <w:rsid w:val="00AB219E"/>
    <w:rsid w:val="00AB455E"/>
    <w:rsid w:val="00AE484C"/>
    <w:rsid w:val="00AE48BC"/>
    <w:rsid w:val="00B31AFC"/>
    <w:rsid w:val="00B36EF1"/>
    <w:rsid w:val="00B613A0"/>
    <w:rsid w:val="00B80E68"/>
    <w:rsid w:val="00B907F5"/>
    <w:rsid w:val="00BE5921"/>
    <w:rsid w:val="00C12618"/>
    <w:rsid w:val="00C35892"/>
    <w:rsid w:val="00C546AF"/>
    <w:rsid w:val="00C60F17"/>
    <w:rsid w:val="00C72F3B"/>
    <w:rsid w:val="00C75B67"/>
    <w:rsid w:val="00C8065A"/>
    <w:rsid w:val="00C82CE1"/>
    <w:rsid w:val="00CC1BC2"/>
    <w:rsid w:val="00CC3E46"/>
    <w:rsid w:val="00CC5F71"/>
    <w:rsid w:val="00CD07E8"/>
    <w:rsid w:val="00CD4346"/>
    <w:rsid w:val="00CE37E3"/>
    <w:rsid w:val="00D2418F"/>
    <w:rsid w:val="00D37AF9"/>
    <w:rsid w:val="00D5655F"/>
    <w:rsid w:val="00D762C9"/>
    <w:rsid w:val="00D80EED"/>
    <w:rsid w:val="00DA053D"/>
    <w:rsid w:val="00DB7DC2"/>
    <w:rsid w:val="00DC710E"/>
    <w:rsid w:val="00DF1998"/>
    <w:rsid w:val="00E0609C"/>
    <w:rsid w:val="00E075E1"/>
    <w:rsid w:val="00E137A7"/>
    <w:rsid w:val="00E159A9"/>
    <w:rsid w:val="00E37E2E"/>
    <w:rsid w:val="00E54BD3"/>
    <w:rsid w:val="00E57342"/>
    <w:rsid w:val="00E64100"/>
    <w:rsid w:val="00E71597"/>
    <w:rsid w:val="00E7369C"/>
    <w:rsid w:val="00E902D0"/>
    <w:rsid w:val="00E9215E"/>
    <w:rsid w:val="00EB6F21"/>
    <w:rsid w:val="00ED623C"/>
    <w:rsid w:val="00EE3A1E"/>
    <w:rsid w:val="00EE53B7"/>
    <w:rsid w:val="00EF4E58"/>
    <w:rsid w:val="00EF7C06"/>
    <w:rsid w:val="00F13BCC"/>
    <w:rsid w:val="00F2383E"/>
    <w:rsid w:val="00F41C78"/>
    <w:rsid w:val="00F50AD4"/>
    <w:rsid w:val="00F60677"/>
    <w:rsid w:val="00F60E4D"/>
    <w:rsid w:val="00F87A8D"/>
    <w:rsid w:val="00FB08F9"/>
    <w:rsid w:val="00FB785C"/>
    <w:rsid w:val="00FD36AF"/>
    <w:rsid w:val="00FD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5D409"/>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E7F1-9385-49BA-AB37-F3EB7426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Breta Rheney</cp:lastModifiedBy>
  <cp:revision>2</cp:revision>
  <cp:lastPrinted>2021-04-29T19:30:00Z</cp:lastPrinted>
  <dcterms:created xsi:type="dcterms:W3CDTF">2026-05-23T20:18:00Z</dcterms:created>
  <dcterms:modified xsi:type="dcterms:W3CDTF">2026-05-23T20:18:00Z</dcterms:modified>
</cp:coreProperties>
</file>